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90" w:rsidRDefault="001E6890" w:rsidP="00344928">
      <w:pPr>
        <w:pStyle w:val="Header"/>
        <w:jc w:val="both"/>
        <w:rPr>
          <w:rFonts w:ascii="Cambria" w:hAnsi="Cambria"/>
          <w:b/>
          <w:sz w:val="44"/>
        </w:rPr>
      </w:pPr>
    </w:p>
    <w:p w:rsidR="001E6890" w:rsidRDefault="001E6890" w:rsidP="00344928">
      <w:pPr>
        <w:pStyle w:val="Header"/>
        <w:jc w:val="both"/>
        <w:rPr>
          <w:rFonts w:ascii="Cambria" w:hAnsi="Cambria"/>
          <w:b/>
          <w:sz w:val="44"/>
        </w:rPr>
      </w:pPr>
    </w:p>
    <w:p w:rsidR="001E6890" w:rsidRPr="006E6B8B" w:rsidRDefault="001E6890" w:rsidP="00344928">
      <w:pPr>
        <w:pStyle w:val="Header"/>
        <w:jc w:val="both"/>
        <w:rPr>
          <w:rFonts w:ascii="Cambria" w:hAnsi="Cambria"/>
          <w:b/>
          <w:sz w:val="44"/>
        </w:rPr>
      </w:pPr>
    </w:p>
    <w:p w:rsidR="001E6890" w:rsidRDefault="001E6890" w:rsidP="00344928">
      <w:pPr>
        <w:pStyle w:val="Header"/>
        <w:jc w:val="both"/>
        <w:rPr>
          <w:sz w:val="20"/>
        </w:rPr>
      </w:pPr>
    </w:p>
    <w:p w:rsidR="001E6890" w:rsidRDefault="001E6890" w:rsidP="00344928">
      <w:pPr>
        <w:pStyle w:val="Header"/>
        <w:jc w:val="both"/>
        <w:rPr>
          <w:sz w:val="20"/>
        </w:rPr>
      </w:pPr>
    </w:p>
    <w:p w:rsidR="001E6890" w:rsidRDefault="001E6890" w:rsidP="00344928">
      <w:pPr>
        <w:pStyle w:val="Header"/>
        <w:jc w:val="both"/>
        <w:rPr>
          <w:sz w:val="20"/>
        </w:rPr>
      </w:pPr>
    </w:p>
    <w:p w:rsidR="001E6890" w:rsidRDefault="00AC55DF" w:rsidP="00344928">
      <w:pPr>
        <w:pStyle w:val="Header"/>
        <w:ind w:left="-567" w:firstLine="141"/>
        <w:jc w:val="both"/>
        <w:rPr>
          <w:sz w:val="20"/>
        </w:rPr>
      </w:pPr>
      <w:r>
        <w:rPr>
          <w:noProof/>
          <w:lang w:eastAsia="en-GB"/>
        </w:rPr>
        <w:drawing>
          <wp:inline distT="0" distB="0" distL="0" distR="0">
            <wp:extent cx="6181725" cy="1485900"/>
            <wp:effectExtent l="19050" t="0" r="9525" b="0"/>
            <wp:docPr id="3" name="Picture 2" descr="MF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 jpeg.jpg"/>
                    <pic:cNvPicPr>
                      <a:picLocks noChangeAspect="1" noChangeArrowheads="1"/>
                    </pic:cNvPicPr>
                  </pic:nvPicPr>
                  <pic:blipFill>
                    <a:blip r:embed="rId8"/>
                    <a:srcRect/>
                    <a:stretch>
                      <a:fillRect/>
                    </a:stretch>
                  </pic:blipFill>
                  <pic:spPr bwMode="auto">
                    <a:xfrm>
                      <a:off x="0" y="0"/>
                      <a:ext cx="6181725" cy="1485900"/>
                    </a:xfrm>
                    <a:prstGeom prst="rect">
                      <a:avLst/>
                    </a:prstGeom>
                    <a:noFill/>
                    <a:ln w="9525">
                      <a:noFill/>
                      <a:miter lim="800000"/>
                      <a:headEnd/>
                      <a:tailEnd/>
                    </a:ln>
                  </pic:spPr>
                </pic:pic>
              </a:graphicData>
            </a:graphic>
          </wp:inline>
        </w:drawing>
      </w:r>
    </w:p>
    <w:p w:rsidR="001E6890" w:rsidRDefault="001E6890" w:rsidP="00344928">
      <w:pPr>
        <w:pStyle w:val="Header"/>
        <w:jc w:val="both"/>
        <w:rPr>
          <w:sz w:val="20"/>
        </w:rPr>
      </w:pPr>
    </w:p>
    <w:p w:rsidR="001E6890" w:rsidRPr="000507AA" w:rsidRDefault="001E6890" w:rsidP="00344928">
      <w:pPr>
        <w:pStyle w:val="Title"/>
        <w:rPr>
          <w:sz w:val="56"/>
          <w:szCs w:val="56"/>
        </w:rPr>
      </w:pPr>
      <w:r>
        <w:rPr>
          <w:sz w:val="56"/>
          <w:szCs w:val="56"/>
        </w:rPr>
        <w:t>M</w:t>
      </w:r>
      <w:r w:rsidR="003F1592">
        <w:rPr>
          <w:sz w:val="56"/>
          <w:szCs w:val="56"/>
        </w:rPr>
        <w:t>otor Finance: Europe Awards 201</w:t>
      </w:r>
      <w:r w:rsidR="00471634">
        <w:rPr>
          <w:sz w:val="56"/>
          <w:szCs w:val="56"/>
        </w:rPr>
        <w:t>8</w:t>
      </w:r>
    </w:p>
    <w:p w:rsidR="001E6890" w:rsidRPr="0073497E" w:rsidRDefault="001E6890" w:rsidP="00344928">
      <w:pPr>
        <w:pStyle w:val="Header"/>
        <w:tabs>
          <w:tab w:val="clear" w:pos="9026"/>
          <w:tab w:val="right" w:pos="9214"/>
        </w:tabs>
        <w:ind w:left="-709"/>
        <w:jc w:val="center"/>
        <w:rPr>
          <w:rFonts w:ascii="Cambria" w:hAnsi="Cambria"/>
          <w:b/>
          <w:sz w:val="50"/>
          <w:szCs w:val="50"/>
        </w:rPr>
      </w:pPr>
      <w:r w:rsidRPr="0073497E">
        <w:rPr>
          <w:rFonts w:ascii="Cambria" w:hAnsi="Cambria"/>
          <w:b/>
          <w:sz w:val="50"/>
          <w:szCs w:val="50"/>
        </w:rPr>
        <w:t>Awards Information Pack</w:t>
      </w:r>
    </w:p>
    <w:p w:rsidR="001E6890" w:rsidRDefault="001E6890" w:rsidP="00344928">
      <w:pPr>
        <w:pStyle w:val="Header"/>
        <w:jc w:val="both"/>
        <w:rPr>
          <w:sz w:val="20"/>
        </w:rPr>
      </w:pPr>
    </w:p>
    <w:p w:rsidR="001E6890" w:rsidRDefault="001E6890" w:rsidP="00344928">
      <w:pPr>
        <w:pStyle w:val="Header"/>
        <w:jc w:val="both"/>
        <w:rPr>
          <w:sz w:val="20"/>
        </w:rPr>
      </w:pPr>
      <w:r>
        <w:rPr>
          <w:sz w:val="20"/>
        </w:rPr>
        <w:tab/>
      </w:r>
      <w:r>
        <w:rPr>
          <w:sz w:val="20"/>
        </w:rPr>
        <w:tab/>
      </w:r>
    </w:p>
    <w:p w:rsidR="001E6890" w:rsidRDefault="001E6890" w:rsidP="00344928">
      <w:pPr>
        <w:pStyle w:val="Header"/>
        <w:spacing w:after="120" w:line="240" w:lineRule="auto"/>
        <w:jc w:val="both"/>
        <w:rPr>
          <w:rFonts w:ascii="Cambria" w:hAnsi="Cambria"/>
          <w:b/>
          <w:bCs/>
          <w:kern w:val="16"/>
          <w:sz w:val="40"/>
          <w:szCs w:val="40"/>
          <w:lang w:val="en-US"/>
        </w:rPr>
      </w:pPr>
      <w:r>
        <w:rPr>
          <w:rFonts w:ascii="Cambria" w:hAnsi="Cambria"/>
          <w:b/>
          <w:bCs/>
          <w:kern w:val="16"/>
          <w:sz w:val="40"/>
          <w:szCs w:val="40"/>
          <w:lang w:val="en-US"/>
        </w:rPr>
        <w:br w:type="page"/>
      </w:r>
    </w:p>
    <w:p w:rsidR="003F1592" w:rsidRDefault="003F1592" w:rsidP="003F1592">
      <w:pPr>
        <w:pStyle w:val="ListParagraph"/>
        <w:ind w:left="0"/>
        <w:jc w:val="center"/>
        <w:rPr>
          <w:sz w:val="21"/>
          <w:szCs w:val="21"/>
        </w:rPr>
      </w:pPr>
    </w:p>
    <w:p w:rsidR="003F1592" w:rsidRDefault="003F1592" w:rsidP="003F1592">
      <w:pPr>
        <w:pStyle w:val="ListParagraph"/>
        <w:ind w:left="0"/>
        <w:rPr>
          <w:sz w:val="21"/>
          <w:szCs w:val="21"/>
        </w:rPr>
      </w:pPr>
      <w:r>
        <w:rPr>
          <w:sz w:val="21"/>
          <w:szCs w:val="21"/>
        </w:rPr>
        <w:t>The Motor Finance Europe Awards 201</w:t>
      </w:r>
      <w:r w:rsidR="00471634">
        <w:rPr>
          <w:sz w:val="21"/>
          <w:szCs w:val="21"/>
        </w:rPr>
        <w:t>8</w:t>
      </w:r>
      <w:r>
        <w:rPr>
          <w:sz w:val="21"/>
          <w:szCs w:val="21"/>
        </w:rPr>
        <w:t xml:space="preserve"> will take place on </w:t>
      </w:r>
      <w:r w:rsidR="00471634">
        <w:rPr>
          <w:sz w:val="21"/>
          <w:szCs w:val="21"/>
        </w:rPr>
        <w:t>2</w:t>
      </w:r>
      <w:r>
        <w:rPr>
          <w:sz w:val="21"/>
          <w:szCs w:val="21"/>
        </w:rPr>
        <w:t>6</w:t>
      </w:r>
      <w:r w:rsidRPr="003F1592">
        <w:rPr>
          <w:sz w:val="21"/>
          <w:szCs w:val="21"/>
          <w:vertAlign w:val="superscript"/>
        </w:rPr>
        <w:t>th</w:t>
      </w:r>
      <w:r>
        <w:rPr>
          <w:sz w:val="21"/>
          <w:szCs w:val="21"/>
        </w:rPr>
        <w:t xml:space="preserve"> </w:t>
      </w:r>
      <w:r w:rsidR="00471634">
        <w:rPr>
          <w:sz w:val="21"/>
          <w:szCs w:val="21"/>
        </w:rPr>
        <w:t>April</w:t>
      </w:r>
      <w:r>
        <w:rPr>
          <w:sz w:val="21"/>
          <w:szCs w:val="21"/>
        </w:rPr>
        <w:t xml:space="preserve"> at the </w:t>
      </w:r>
      <w:r w:rsidR="00471634">
        <w:rPr>
          <w:sz w:val="21"/>
          <w:szCs w:val="21"/>
        </w:rPr>
        <w:t xml:space="preserve">Adlon </w:t>
      </w:r>
      <w:proofErr w:type="spellStart"/>
      <w:r w:rsidR="00471634">
        <w:rPr>
          <w:sz w:val="21"/>
          <w:szCs w:val="21"/>
        </w:rPr>
        <w:t>Kempinski</w:t>
      </w:r>
      <w:proofErr w:type="spellEnd"/>
      <w:r w:rsidR="00471634">
        <w:rPr>
          <w:sz w:val="21"/>
          <w:szCs w:val="21"/>
        </w:rPr>
        <w:t xml:space="preserve"> Hotel, Berlin.</w:t>
      </w:r>
    </w:p>
    <w:p w:rsidR="003F1592" w:rsidRDefault="003F1592" w:rsidP="003F1592">
      <w:pPr>
        <w:pStyle w:val="ListParagraph"/>
        <w:ind w:left="0"/>
        <w:rPr>
          <w:sz w:val="21"/>
          <w:szCs w:val="21"/>
        </w:rPr>
      </w:pPr>
    </w:p>
    <w:p w:rsidR="003F1592" w:rsidRDefault="003F1592" w:rsidP="003F1592">
      <w:pPr>
        <w:pStyle w:val="ListParagraph"/>
        <w:ind w:left="0"/>
        <w:rPr>
          <w:sz w:val="21"/>
          <w:szCs w:val="21"/>
        </w:rPr>
      </w:pPr>
      <w:r>
        <w:rPr>
          <w:sz w:val="21"/>
          <w:szCs w:val="21"/>
        </w:rPr>
        <w:t xml:space="preserve">Full details of this year's categories and criteria can be found </w:t>
      </w:r>
      <w:r w:rsidR="00471634">
        <w:rPr>
          <w:sz w:val="21"/>
          <w:szCs w:val="21"/>
        </w:rPr>
        <w:t xml:space="preserve">below.  </w:t>
      </w:r>
      <w:r>
        <w:rPr>
          <w:sz w:val="21"/>
          <w:szCs w:val="21"/>
        </w:rPr>
        <w:t xml:space="preserve"> </w:t>
      </w:r>
    </w:p>
    <w:p w:rsidR="003F1592" w:rsidRDefault="003F1592" w:rsidP="003F1592">
      <w:pPr>
        <w:pStyle w:val="ListParagraph"/>
        <w:ind w:left="0"/>
        <w:rPr>
          <w:sz w:val="21"/>
          <w:szCs w:val="21"/>
        </w:rPr>
      </w:pPr>
    </w:p>
    <w:p w:rsidR="003F1592" w:rsidRDefault="003F1592" w:rsidP="003F1592">
      <w:pPr>
        <w:pStyle w:val="ListParagraph"/>
        <w:ind w:left="0"/>
        <w:rPr>
          <w:sz w:val="21"/>
          <w:szCs w:val="21"/>
        </w:rPr>
      </w:pPr>
      <w:r>
        <w:rPr>
          <w:sz w:val="21"/>
          <w:szCs w:val="21"/>
        </w:rPr>
        <w:t>Nominations are now open – deadline for en</w:t>
      </w:r>
      <w:r w:rsidR="00471634">
        <w:rPr>
          <w:sz w:val="21"/>
          <w:szCs w:val="21"/>
        </w:rPr>
        <w:t>tries is 5pm GMT on Friday 2</w:t>
      </w:r>
      <w:r w:rsidR="00471634" w:rsidRPr="00471634">
        <w:rPr>
          <w:sz w:val="21"/>
          <w:szCs w:val="21"/>
          <w:vertAlign w:val="superscript"/>
        </w:rPr>
        <w:t>nd</w:t>
      </w:r>
      <w:r w:rsidR="00471634">
        <w:rPr>
          <w:sz w:val="21"/>
          <w:szCs w:val="21"/>
        </w:rPr>
        <w:t xml:space="preserve"> February.</w:t>
      </w:r>
    </w:p>
    <w:p w:rsidR="003F1592" w:rsidRDefault="003F1592" w:rsidP="003F1592">
      <w:pPr>
        <w:pStyle w:val="ListParagraph"/>
        <w:ind w:left="0"/>
        <w:rPr>
          <w:sz w:val="21"/>
          <w:szCs w:val="21"/>
        </w:rPr>
      </w:pPr>
    </w:p>
    <w:p w:rsidR="003F1592" w:rsidRDefault="003F1592" w:rsidP="003F1592">
      <w:pPr>
        <w:pStyle w:val="ListParagraph"/>
        <w:ind w:left="0"/>
        <w:rPr>
          <w:sz w:val="21"/>
          <w:szCs w:val="21"/>
        </w:rPr>
      </w:pPr>
      <w:r>
        <w:rPr>
          <w:sz w:val="21"/>
          <w:szCs w:val="21"/>
        </w:rPr>
        <w:t xml:space="preserve">Send your completed nominations to </w:t>
      </w:r>
      <w:hyperlink r:id="rId9" w:history="1">
        <w:r w:rsidR="00471634" w:rsidRPr="00A90A9F">
          <w:rPr>
            <w:rStyle w:val="Hyperlink"/>
            <w:sz w:val="21"/>
            <w:szCs w:val="21"/>
          </w:rPr>
          <w:t>MF18awards@compelo.com</w:t>
        </w:r>
      </w:hyperlink>
    </w:p>
    <w:p w:rsidR="003F1592" w:rsidRDefault="003F1592" w:rsidP="003F1592">
      <w:pPr>
        <w:pStyle w:val="ListParagraph"/>
        <w:ind w:left="0"/>
        <w:rPr>
          <w:sz w:val="21"/>
          <w:szCs w:val="21"/>
        </w:rPr>
      </w:pPr>
    </w:p>
    <w:p w:rsidR="003F1592" w:rsidRDefault="003F1592" w:rsidP="003F1592">
      <w:pPr>
        <w:pStyle w:val="ListParagraph"/>
        <w:ind w:left="0"/>
        <w:rPr>
          <w:sz w:val="21"/>
          <w:szCs w:val="21"/>
        </w:rPr>
      </w:pPr>
      <w:r>
        <w:rPr>
          <w:sz w:val="21"/>
          <w:szCs w:val="21"/>
        </w:rPr>
        <w:t>Nominees should follow these simple guidelines to ensure their submission has the best chance of winning.</w:t>
      </w:r>
    </w:p>
    <w:p w:rsidR="003F1592" w:rsidRDefault="003F1592" w:rsidP="003F1592">
      <w:pPr>
        <w:pStyle w:val="ListParagraph"/>
        <w:ind w:left="0"/>
        <w:rPr>
          <w:sz w:val="21"/>
          <w:szCs w:val="21"/>
        </w:rPr>
      </w:pPr>
    </w:p>
    <w:p w:rsidR="003F1592" w:rsidRDefault="003F1592" w:rsidP="003F1592">
      <w:pPr>
        <w:pStyle w:val="ListParagraph"/>
        <w:ind w:left="0"/>
        <w:rPr>
          <w:sz w:val="21"/>
          <w:szCs w:val="21"/>
          <w:u w:val="single"/>
        </w:rPr>
      </w:pPr>
      <w:r>
        <w:rPr>
          <w:sz w:val="21"/>
          <w:szCs w:val="21"/>
          <w:u w:val="single"/>
        </w:rPr>
        <w:t>Submission Rules</w:t>
      </w:r>
    </w:p>
    <w:p w:rsidR="003F1592" w:rsidRDefault="003F1592" w:rsidP="003F1592">
      <w:pPr>
        <w:pStyle w:val="ListParagraph"/>
        <w:ind w:left="0" w:hanging="360"/>
        <w:rPr>
          <w:sz w:val="21"/>
          <w:szCs w:val="21"/>
          <w:u w:val="single"/>
        </w:rPr>
      </w:pPr>
    </w:p>
    <w:p w:rsidR="003F1592" w:rsidRDefault="003F1592" w:rsidP="003F1592">
      <w:pPr>
        <w:pStyle w:val="ListParagraph"/>
        <w:numPr>
          <w:ilvl w:val="0"/>
          <w:numId w:val="43"/>
        </w:numPr>
        <w:spacing w:after="0" w:line="240" w:lineRule="auto"/>
        <w:contextualSpacing w:val="0"/>
        <w:rPr>
          <w:sz w:val="21"/>
          <w:szCs w:val="21"/>
        </w:rPr>
      </w:pPr>
      <w:r>
        <w:rPr>
          <w:sz w:val="21"/>
          <w:szCs w:val="21"/>
        </w:rPr>
        <w:t>Submissions can be made either on behalf of your own company or in recognition of a colleague or partner firm.</w:t>
      </w:r>
    </w:p>
    <w:p w:rsidR="003F1592" w:rsidRDefault="003F1592" w:rsidP="003F1592">
      <w:pPr>
        <w:pStyle w:val="ListParagraph"/>
        <w:numPr>
          <w:ilvl w:val="0"/>
          <w:numId w:val="43"/>
        </w:numPr>
        <w:spacing w:after="0" w:line="240" w:lineRule="auto"/>
        <w:contextualSpacing w:val="0"/>
        <w:rPr>
          <w:sz w:val="21"/>
          <w:szCs w:val="21"/>
        </w:rPr>
      </w:pPr>
      <w:r>
        <w:rPr>
          <w:sz w:val="21"/>
          <w:szCs w:val="21"/>
        </w:rPr>
        <w:t>Maximum of 1,000 words in Word format, no appendices.</w:t>
      </w:r>
    </w:p>
    <w:p w:rsidR="003F1592" w:rsidRDefault="003F1592" w:rsidP="003F1592">
      <w:pPr>
        <w:pStyle w:val="ListParagraph"/>
        <w:numPr>
          <w:ilvl w:val="0"/>
          <w:numId w:val="43"/>
        </w:numPr>
        <w:spacing w:after="0" w:line="240" w:lineRule="auto"/>
        <w:contextualSpacing w:val="0"/>
        <w:rPr>
          <w:sz w:val="21"/>
          <w:szCs w:val="21"/>
        </w:rPr>
      </w:pPr>
      <w:r>
        <w:rPr>
          <w:sz w:val="21"/>
          <w:szCs w:val="21"/>
        </w:rPr>
        <w:t>Entry must address the award category explicitly, not generic links to web sites, corporate marketing etc.</w:t>
      </w:r>
    </w:p>
    <w:p w:rsidR="003F1592" w:rsidRDefault="003F1592" w:rsidP="003F1592">
      <w:pPr>
        <w:pStyle w:val="ListParagraph"/>
        <w:numPr>
          <w:ilvl w:val="0"/>
          <w:numId w:val="43"/>
        </w:numPr>
        <w:spacing w:after="0" w:line="240" w:lineRule="auto"/>
        <w:contextualSpacing w:val="0"/>
        <w:rPr>
          <w:sz w:val="21"/>
          <w:szCs w:val="21"/>
        </w:rPr>
      </w:pPr>
      <w:r>
        <w:rPr>
          <w:sz w:val="21"/>
          <w:szCs w:val="21"/>
        </w:rPr>
        <w:t>Submissions should highlight the key differentiator and competitive nature of the project or implementation</w:t>
      </w:r>
    </w:p>
    <w:p w:rsidR="003F1592" w:rsidRDefault="003F1592" w:rsidP="003F1592">
      <w:pPr>
        <w:pStyle w:val="ListParagraph"/>
        <w:numPr>
          <w:ilvl w:val="0"/>
          <w:numId w:val="43"/>
        </w:numPr>
        <w:spacing w:after="0" w:line="240" w:lineRule="auto"/>
        <w:contextualSpacing w:val="0"/>
        <w:rPr>
          <w:sz w:val="21"/>
          <w:szCs w:val="21"/>
        </w:rPr>
      </w:pPr>
      <w:r>
        <w:rPr>
          <w:sz w:val="21"/>
          <w:szCs w:val="21"/>
        </w:rPr>
        <w:t>It is made explicit the Entrant, Judges and the publication will treat any and all information in strict confidence and any quotes or information to go into the public domain will be pre-cleared by the Entrant.</w:t>
      </w:r>
    </w:p>
    <w:p w:rsidR="003F1592" w:rsidRDefault="003F1592" w:rsidP="003F1592">
      <w:pPr>
        <w:pStyle w:val="ListParagraph"/>
        <w:numPr>
          <w:ilvl w:val="0"/>
          <w:numId w:val="43"/>
        </w:numPr>
        <w:spacing w:after="0" w:line="240" w:lineRule="auto"/>
        <w:contextualSpacing w:val="0"/>
        <w:rPr>
          <w:sz w:val="21"/>
          <w:szCs w:val="21"/>
        </w:rPr>
      </w:pPr>
      <w:r>
        <w:rPr>
          <w:sz w:val="21"/>
          <w:szCs w:val="21"/>
        </w:rPr>
        <w:t>Submissions made after the publicised cut-off date will be ignored irrespective of their relative merits.</w:t>
      </w:r>
    </w:p>
    <w:p w:rsidR="003F1592" w:rsidRDefault="003F1592" w:rsidP="003F1592">
      <w:pPr>
        <w:pStyle w:val="ListParagraph"/>
        <w:numPr>
          <w:ilvl w:val="0"/>
          <w:numId w:val="43"/>
        </w:numPr>
        <w:spacing w:after="0" w:line="240" w:lineRule="auto"/>
        <w:contextualSpacing w:val="0"/>
        <w:rPr>
          <w:sz w:val="21"/>
          <w:szCs w:val="21"/>
        </w:rPr>
      </w:pPr>
      <w:r>
        <w:rPr>
          <w:sz w:val="21"/>
          <w:szCs w:val="21"/>
        </w:rPr>
        <w:t>The Editor and Judges reserve the right to make no award for any specific category</w:t>
      </w:r>
    </w:p>
    <w:p w:rsidR="003F1592" w:rsidRDefault="003F1592" w:rsidP="003F1592">
      <w:pPr>
        <w:pStyle w:val="ListParagraph"/>
        <w:numPr>
          <w:ilvl w:val="0"/>
          <w:numId w:val="43"/>
        </w:numPr>
        <w:spacing w:after="0" w:line="240" w:lineRule="auto"/>
        <w:contextualSpacing w:val="0"/>
        <w:rPr>
          <w:sz w:val="21"/>
          <w:szCs w:val="21"/>
        </w:rPr>
      </w:pPr>
      <w:r>
        <w:rPr>
          <w:sz w:val="21"/>
          <w:szCs w:val="21"/>
        </w:rPr>
        <w:t xml:space="preserve">The Editor and Judges reserve the right to move a submission to a more appropriate category at their discretion </w:t>
      </w:r>
    </w:p>
    <w:p w:rsidR="003F1592" w:rsidRDefault="003F1592" w:rsidP="003F1592">
      <w:pPr>
        <w:pStyle w:val="ListParagraph"/>
        <w:numPr>
          <w:ilvl w:val="0"/>
          <w:numId w:val="43"/>
        </w:numPr>
        <w:spacing w:after="0" w:line="240" w:lineRule="auto"/>
        <w:contextualSpacing w:val="0"/>
        <w:rPr>
          <w:sz w:val="21"/>
          <w:szCs w:val="21"/>
        </w:rPr>
      </w:pPr>
      <w:r>
        <w:rPr>
          <w:sz w:val="21"/>
          <w:szCs w:val="21"/>
        </w:rPr>
        <w:t>In submitting for more than one category the submissions must be unique</w:t>
      </w:r>
    </w:p>
    <w:p w:rsidR="003F1592" w:rsidRDefault="003F1592" w:rsidP="003F1592">
      <w:pPr>
        <w:pStyle w:val="ListParagraph"/>
        <w:numPr>
          <w:ilvl w:val="0"/>
          <w:numId w:val="43"/>
        </w:numPr>
        <w:spacing w:after="0" w:line="240" w:lineRule="auto"/>
        <w:contextualSpacing w:val="0"/>
        <w:rPr>
          <w:sz w:val="21"/>
          <w:szCs w:val="21"/>
        </w:rPr>
      </w:pPr>
      <w:r>
        <w:rPr>
          <w:sz w:val="21"/>
          <w:szCs w:val="21"/>
        </w:rPr>
        <w:t>The Editor and Judges’ decision is final</w:t>
      </w:r>
    </w:p>
    <w:p w:rsidR="003F1592" w:rsidRDefault="003F1592" w:rsidP="003F1592">
      <w:pPr>
        <w:jc w:val="both"/>
        <w:rPr>
          <w:sz w:val="21"/>
          <w:szCs w:val="21"/>
        </w:rPr>
      </w:pPr>
    </w:p>
    <w:p w:rsidR="003F1592" w:rsidRDefault="003F1592" w:rsidP="003F1592">
      <w:pPr>
        <w:jc w:val="both"/>
        <w:rPr>
          <w:sz w:val="21"/>
          <w:szCs w:val="21"/>
        </w:rPr>
      </w:pPr>
      <w:r>
        <w:rPr>
          <w:sz w:val="21"/>
          <w:szCs w:val="21"/>
        </w:rPr>
        <w:t>The full list of awards categories and criteria for this year’s awards can be found below.</w:t>
      </w:r>
    </w:p>
    <w:p w:rsidR="003F1592" w:rsidRDefault="003F1592" w:rsidP="003F1592">
      <w:pPr>
        <w:jc w:val="both"/>
        <w:rPr>
          <w:sz w:val="21"/>
          <w:szCs w:val="21"/>
        </w:rPr>
      </w:pPr>
      <w:r>
        <w:rPr>
          <w:sz w:val="21"/>
          <w:szCs w:val="21"/>
        </w:rPr>
        <w:t xml:space="preserve">Please note: </w:t>
      </w:r>
      <w:r>
        <w:rPr>
          <w:i/>
          <w:iCs/>
          <w:sz w:val="21"/>
          <w:szCs w:val="21"/>
        </w:rPr>
        <w:t>Whilst we recommend you to try to submit against as many of the criteria as possible, we appreciate that for some companies this may not be possible.  The more you can respond against the stronger your application will be, but we would like to highlight that submitting against all criteria is not mandatory.</w:t>
      </w:r>
      <w:r>
        <w:rPr>
          <w:sz w:val="21"/>
          <w:szCs w:val="21"/>
        </w:rPr>
        <w:t xml:space="preserve"> </w:t>
      </w:r>
    </w:p>
    <w:p w:rsidR="003F1592" w:rsidRDefault="003F1592" w:rsidP="003F1592">
      <w:pPr>
        <w:jc w:val="both"/>
        <w:rPr>
          <w:sz w:val="21"/>
          <w:szCs w:val="21"/>
        </w:rPr>
      </w:pPr>
      <w:r>
        <w:rPr>
          <w:sz w:val="21"/>
          <w:szCs w:val="21"/>
        </w:rPr>
        <w:t xml:space="preserve">Should you require further guidance on your entry please contact our Editor: Jonathan Minter </w:t>
      </w:r>
      <w:hyperlink r:id="rId10" w:history="1">
        <w:r w:rsidR="00B114AC" w:rsidRPr="00A90A9F">
          <w:rPr>
            <w:rStyle w:val="Hyperlink"/>
            <w:sz w:val="21"/>
            <w:szCs w:val="21"/>
          </w:rPr>
          <w:t xml:space="preserve">jonathan.minter@verdict.co.uk </w:t>
        </w:r>
      </w:hyperlink>
      <w:r>
        <w:rPr>
          <w:sz w:val="21"/>
          <w:szCs w:val="21"/>
        </w:rPr>
        <w:t xml:space="preserve"> </w:t>
      </w:r>
    </w:p>
    <w:p w:rsidR="003F1592" w:rsidRDefault="003F1592" w:rsidP="003F1592">
      <w:pPr>
        <w:jc w:val="both"/>
        <w:rPr>
          <w:sz w:val="21"/>
          <w:szCs w:val="21"/>
        </w:rPr>
      </w:pPr>
      <w:r>
        <w:rPr>
          <w:sz w:val="21"/>
          <w:szCs w:val="21"/>
        </w:rPr>
        <w:t>Good luck in your submissions!</w:t>
      </w:r>
    </w:p>
    <w:p w:rsidR="003F1592" w:rsidRDefault="003F1592" w:rsidP="003F1592">
      <w:pPr>
        <w:jc w:val="both"/>
        <w:rPr>
          <w:sz w:val="21"/>
          <w:szCs w:val="21"/>
        </w:rPr>
      </w:pPr>
    </w:p>
    <w:p w:rsidR="003F1592" w:rsidRDefault="003F1592" w:rsidP="003F1592">
      <w:pPr>
        <w:jc w:val="both"/>
        <w:rPr>
          <w:sz w:val="21"/>
          <w:szCs w:val="21"/>
        </w:rPr>
      </w:pPr>
    </w:p>
    <w:p w:rsidR="001E6890" w:rsidRDefault="001E6890" w:rsidP="00344928">
      <w:pPr>
        <w:pStyle w:val="Header"/>
        <w:tabs>
          <w:tab w:val="clear" w:pos="9026"/>
          <w:tab w:val="right" w:pos="9214"/>
        </w:tabs>
        <w:spacing w:after="120"/>
        <w:jc w:val="both"/>
        <w:rPr>
          <w:lang w:val="en-US"/>
        </w:rPr>
      </w:pPr>
      <w:r w:rsidRPr="00C00098">
        <w:rPr>
          <w:lang w:val="en-US"/>
        </w:rPr>
        <w:t xml:space="preserve"> </w:t>
      </w:r>
    </w:p>
    <w:p w:rsidR="00380D10" w:rsidRDefault="00380D10" w:rsidP="00344928">
      <w:pPr>
        <w:pStyle w:val="Header"/>
        <w:tabs>
          <w:tab w:val="clear" w:pos="9026"/>
          <w:tab w:val="right" w:pos="9214"/>
        </w:tabs>
        <w:spacing w:after="120"/>
        <w:jc w:val="both"/>
        <w:rPr>
          <w:lang w:val="en-US"/>
        </w:rPr>
      </w:pPr>
    </w:p>
    <w:p w:rsidR="00380D10" w:rsidRDefault="00380D10" w:rsidP="00380D10">
      <w:pPr>
        <w:jc w:val="both"/>
        <w:rPr>
          <w:lang w:val="en-US"/>
        </w:rPr>
      </w:pPr>
    </w:p>
    <w:p w:rsidR="00380D10" w:rsidRPr="00380D10" w:rsidRDefault="00380D10" w:rsidP="00380D10">
      <w:pPr>
        <w:jc w:val="both"/>
        <w:rPr>
          <w:rFonts w:asciiTheme="minorHAnsi" w:hAnsiTheme="minorHAnsi"/>
          <w:b/>
          <w:bCs/>
          <w:color w:val="943634" w:themeColor="accent2" w:themeShade="BF"/>
        </w:rPr>
      </w:pPr>
      <w:r w:rsidRPr="00380D10">
        <w:rPr>
          <w:rFonts w:asciiTheme="minorHAnsi" w:hAnsiTheme="minorHAnsi"/>
          <w:b/>
          <w:bCs/>
          <w:color w:val="943634" w:themeColor="accent2" w:themeShade="BF"/>
        </w:rPr>
        <w:lastRenderedPageBreak/>
        <w:t>Captive Finance Company of the Year:</w:t>
      </w:r>
    </w:p>
    <w:p w:rsidR="00380D10" w:rsidRPr="00380D10" w:rsidRDefault="00380D10" w:rsidP="00380D10">
      <w:pPr>
        <w:jc w:val="both"/>
        <w:rPr>
          <w:rFonts w:asciiTheme="minorHAnsi" w:hAnsiTheme="minorHAnsi"/>
          <w:color w:val="000000"/>
        </w:rPr>
      </w:pPr>
      <w:r w:rsidRPr="00380D10">
        <w:rPr>
          <w:rFonts w:asciiTheme="minorHAnsi" w:hAnsiTheme="minorHAnsi"/>
          <w:color w:val="000000"/>
        </w:rPr>
        <w:t>This award is open to nominations for the captive finance houses of any consumer vehicle producer. These finance companies have become increasingly important to the manufacturers in keeping up overall car sale volumes.  This in turn has driven greater levels of finance penetration and more innovation from the finance houses.  For this award, judges will take into account:</w:t>
      </w:r>
    </w:p>
    <w:p w:rsidR="00380D10" w:rsidRPr="00380D10" w:rsidRDefault="00380D10" w:rsidP="00380D10">
      <w:pPr>
        <w:numPr>
          <w:ilvl w:val="0"/>
          <w:numId w:val="38"/>
        </w:numPr>
        <w:spacing w:after="0"/>
        <w:jc w:val="both"/>
        <w:rPr>
          <w:rFonts w:asciiTheme="minorHAnsi" w:eastAsia="Times New Roman" w:hAnsiTheme="minorHAnsi"/>
          <w:color w:val="000000"/>
        </w:rPr>
      </w:pPr>
      <w:r w:rsidRPr="00380D10">
        <w:rPr>
          <w:rFonts w:asciiTheme="minorHAnsi" w:eastAsia="Times New Roman" w:hAnsiTheme="minorHAnsi"/>
          <w:color w:val="000000"/>
        </w:rPr>
        <w:t>The performance of the finance company in terms of finance penetration within the brands, and contribution to group profits/revenue</w:t>
      </w:r>
    </w:p>
    <w:p w:rsidR="00380D10" w:rsidRPr="00380D10" w:rsidRDefault="00380D10" w:rsidP="00380D10">
      <w:pPr>
        <w:numPr>
          <w:ilvl w:val="0"/>
          <w:numId w:val="38"/>
        </w:numPr>
        <w:spacing w:after="0"/>
        <w:jc w:val="both"/>
        <w:rPr>
          <w:rFonts w:asciiTheme="minorHAnsi" w:eastAsia="Times New Roman" w:hAnsiTheme="minorHAnsi"/>
          <w:color w:val="000000"/>
        </w:rPr>
      </w:pPr>
      <w:r w:rsidRPr="00380D10">
        <w:rPr>
          <w:rFonts w:asciiTheme="minorHAnsi" w:eastAsia="Times New Roman" w:hAnsiTheme="minorHAnsi"/>
          <w:color w:val="000000"/>
        </w:rPr>
        <w:t>Evidence the finance company has helped sales of the mother company  grow, despite a tough economic climate</w:t>
      </w:r>
    </w:p>
    <w:p w:rsidR="00380D10" w:rsidRPr="00380D10" w:rsidRDefault="00380D10" w:rsidP="00380D10">
      <w:pPr>
        <w:numPr>
          <w:ilvl w:val="0"/>
          <w:numId w:val="38"/>
        </w:numPr>
        <w:spacing w:after="0"/>
        <w:jc w:val="both"/>
        <w:rPr>
          <w:rFonts w:asciiTheme="minorHAnsi" w:eastAsia="Times New Roman" w:hAnsiTheme="minorHAnsi"/>
          <w:color w:val="000000"/>
        </w:rPr>
      </w:pPr>
      <w:r w:rsidRPr="00380D10">
        <w:rPr>
          <w:rFonts w:asciiTheme="minorHAnsi" w:eastAsia="Times New Roman" w:hAnsiTheme="minorHAnsi"/>
          <w:color w:val="000000"/>
        </w:rPr>
        <w:t>Development of the business, e.g. new financial produc</w:t>
      </w:r>
      <w:r w:rsidR="0049728B">
        <w:rPr>
          <w:rFonts w:asciiTheme="minorHAnsi" w:eastAsia="Times New Roman" w:hAnsiTheme="minorHAnsi"/>
          <w:color w:val="000000"/>
        </w:rPr>
        <w:t>ts and growth in volumes in 2017 compared to 2016</w:t>
      </w:r>
      <w:r w:rsidRPr="00380D10">
        <w:rPr>
          <w:rFonts w:asciiTheme="minorHAnsi" w:eastAsia="Times New Roman" w:hAnsiTheme="minorHAnsi"/>
          <w:color w:val="000000"/>
        </w:rPr>
        <w:t>.</w:t>
      </w:r>
    </w:p>
    <w:p w:rsidR="00380D10" w:rsidRPr="00380D10" w:rsidRDefault="00380D10" w:rsidP="00380D10">
      <w:pPr>
        <w:jc w:val="both"/>
        <w:rPr>
          <w:rFonts w:asciiTheme="minorHAnsi" w:hAnsiTheme="minorHAnsi"/>
          <w:b/>
          <w:bCs/>
          <w:color w:val="943634" w:themeColor="accent2" w:themeShade="BF"/>
        </w:rPr>
      </w:pPr>
    </w:p>
    <w:p w:rsidR="00380D10" w:rsidRPr="00380D10" w:rsidRDefault="00494D40" w:rsidP="00380D10">
      <w:pPr>
        <w:jc w:val="both"/>
        <w:rPr>
          <w:rFonts w:asciiTheme="minorHAnsi" w:hAnsiTheme="minorHAnsi"/>
          <w:b/>
          <w:bCs/>
          <w:color w:val="943634" w:themeColor="accent2" w:themeShade="BF"/>
        </w:rPr>
      </w:pPr>
      <w:r>
        <w:rPr>
          <w:rFonts w:asciiTheme="minorHAnsi" w:hAnsiTheme="minorHAnsi"/>
          <w:b/>
          <w:bCs/>
          <w:color w:val="943634" w:themeColor="accent2" w:themeShade="BF"/>
        </w:rPr>
        <w:t>Bank O</w:t>
      </w:r>
      <w:r w:rsidR="00380D10" w:rsidRPr="00380D10">
        <w:rPr>
          <w:rFonts w:asciiTheme="minorHAnsi" w:hAnsiTheme="minorHAnsi"/>
          <w:b/>
          <w:bCs/>
          <w:color w:val="943634" w:themeColor="accent2" w:themeShade="BF"/>
        </w:rPr>
        <w:t>wned Independent Finance Provider of the Year:</w:t>
      </w:r>
    </w:p>
    <w:p w:rsidR="00380D10" w:rsidRPr="00380D10" w:rsidRDefault="00380D10" w:rsidP="00380D10">
      <w:pPr>
        <w:jc w:val="both"/>
        <w:rPr>
          <w:rFonts w:asciiTheme="minorHAnsi" w:hAnsiTheme="minorHAnsi"/>
          <w:color w:val="000000"/>
        </w:rPr>
      </w:pPr>
      <w:r w:rsidRPr="00380D10">
        <w:rPr>
          <w:rFonts w:asciiTheme="minorHAnsi" w:hAnsiTheme="minorHAnsi"/>
          <w:color w:val="000000"/>
        </w:rPr>
        <w:t>This award is for the bank owned independent lender is who is best able to demonstrate a proven track record of working well with intermediaries and success in improving business volumes.  Judges will specifically looking for:</w:t>
      </w:r>
    </w:p>
    <w:p w:rsidR="00380D10" w:rsidRPr="00380D10" w:rsidRDefault="00380D10" w:rsidP="00380D10">
      <w:pPr>
        <w:numPr>
          <w:ilvl w:val="0"/>
          <w:numId w:val="38"/>
        </w:numPr>
        <w:spacing w:after="0"/>
        <w:jc w:val="both"/>
        <w:rPr>
          <w:rFonts w:asciiTheme="minorHAnsi" w:eastAsia="Times New Roman" w:hAnsiTheme="minorHAnsi"/>
          <w:color w:val="000000"/>
        </w:rPr>
      </w:pPr>
      <w:r w:rsidRPr="00380D10">
        <w:rPr>
          <w:rFonts w:asciiTheme="minorHAnsi" w:eastAsia="Times New Roman" w:hAnsiTheme="minorHAnsi"/>
          <w:color w:val="000000"/>
        </w:rPr>
        <w:t>What makes the lender stand out from the competition</w:t>
      </w:r>
    </w:p>
    <w:p w:rsidR="00380D10" w:rsidRPr="00380D10" w:rsidRDefault="00380D10" w:rsidP="00380D10">
      <w:pPr>
        <w:numPr>
          <w:ilvl w:val="0"/>
          <w:numId w:val="38"/>
        </w:numPr>
        <w:spacing w:after="0"/>
        <w:jc w:val="both"/>
        <w:rPr>
          <w:rFonts w:asciiTheme="minorHAnsi" w:eastAsia="Times New Roman" w:hAnsiTheme="minorHAnsi"/>
        </w:rPr>
      </w:pPr>
      <w:r w:rsidRPr="00380D10">
        <w:rPr>
          <w:rFonts w:asciiTheme="minorHAnsi" w:eastAsia="Times New Roman" w:hAnsiTheme="minorHAnsi"/>
          <w:color w:val="000000"/>
        </w:rPr>
        <w:t>Development of the business, e.g. new financial products and growth in volumes in 201</w:t>
      </w:r>
      <w:r w:rsidR="0049728B">
        <w:rPr>
          <w:rFonts w:asciiTheme="minorHAnsi" w:eastAsia="Times New Roman" w:hAnsiTheme="minorHAnsi"/>
          <w:color w:val="000000"/>
        </w:rPr>
        <w:t>7</w:t>
      </w:r>
      <w:r w:rsidRPr="00380D10">
        <w:rPr>
          <w:rFonts w:asciiTheme="minorHAnsi" w:eastAsia="Times New Roman" w:hAnsiTheme="minorHAnsi"/>
          <w:color w:val="000000"/>
        </w:rPr>
        <w:t xml:space="preserve"> </w:t>
      </w:r>
      <w:r w:rsidRPr="00380D10">
        <w:rPr>
          <w:rFonts w:asciiTheme="minorHAnsi" w:eastAsia="Times New Roman" w:hAnsiTheme="minorHAnsi"/>
        </w:rPr>
        <w:t>compared to 201</w:t>
      </w:r>
      <w:r w:rsidR="0049728B">
        <w:rPr>
          <w:rFonts w:asciiTheme="minorHAnsi" w:eastAsia="Times New Roman" w:hAnsiTheme="minorHAnsi"/>
        </w:rPr>
        <w:t>6</w:t>
      </w:r>
      <w:r w:rsidRPr="00380D10">
        <w:rPr>
          <w:rFonts w:asciiTheme="minorHAnsi" w:eastAsia="Times New Roman" w:hAnsiTheme="minorHAnsi"/>
        </w:rPr>
        <w:t>.</w:t>
      </w:r>
    </w:p>
    <w:p w:rsidR="00380D10" w:rsidRPr="00380D10" w:rsidRDefault="00380D10" w:rsidP="00380D10">
      <w:pPr>
        <w:numPr>
          <w:ilvl w:val="0"/>
          <w:numId w:val="38"/>
        </w:numPr>
        <w:spacing w:after="0"/>
        <w:jc w:val="both"/>
        <w:rPr>
          <w:rFonts w:asciiTheme="minorHAnsi" w:hAnsiTheme="minorHAnsi"/>
          <w:b/>
          <w:bCs/>
        </w:rPr>
      </w:pPr>
      <w:r w:rsidRPr="00380D10">
        <w:rPr>
          <w:rFonts w:asciiTheme="minorHAnsi" w:eastAsia="Times New Roman" w:hAnsiTheme="minorHAnsi"/>
        </w:rPr>
        <w:t>Demonstrable relationship success with intermediaries, such as supporting dealer activity or helping with regulatory changes</w:t>
      </w:r>
    </w:p>
    <w:p w:rsidR="00380D10" w:rsidRPr="00380D10" w:rsidRDefault="00380D10" w:rsidP="00380D10">
      <w:pPr>
        <w:spacing w:after="0"/>
        <w:ind w:left="720"/>
        <w:jc w:val="both"/>
        <w:rPr>
          <w:rFonts w:asciiTheme="minorHAnsi" w:hAnsiTheme="minorHAnsi"/>
          <w:b/>
          <w:bCs/>
          <w:color w:val="943634" w:themeColor="accent2" w:themeShade="BF"/>
        </w:rPr>
      </w:pPr>
    </w:p>
    <w:p w:rsidR="00380D10" w:rsidRPr="00380D10" w:rsidRDefault="00494D40" w:rsidP="00380D10">
      <w:pPr>
        <w:jc w:val="both"/>
        <w:rPr>
          <w:rFonts w:asciiTheme="minorHAnsi" w:hAnsiTheme="minorHAnsi"/>
          <w:b/>
          <w:bCs/>
          <w:color w:val="943634" w:themeColor="accent2" w:themeShade="BF"/>
        </w:rPr>
      </w:pPr>
      <w:r>
        <w:rPr>
          <w:rFonts w:asciiTheme="minorHAnsi" w:hAnsiTheme="minorHAnsi"/>
          <w:b/>
          <w:bCs/>
          <w:color w:val="943634" w:themeColor="accent2" w:themeShade="BF"/>
        </w:rPr>
        <w:t>Non-bank O</w:t>
      </w:r>
      <w:r w:rsidR="00380D10" w:rsidRPr="00380D10">
        <w:rPr>
          <w:rFonts w:asciiTheme="minorHAnsi" w:hAnsiTheme="minorHAnsi"/>
          <w:b/>
          <w:bCs/>
          <w:color w:val="943634" w:themeColor="accent2" w:themeShade="BF"/>
        </w:rPr>
        <w:t>wned Independent Finance Provider of the Year:</w:t>
      </w:r>
    </w:p>
    <w:p w:rsidR="00380D10" w:rsidRPr="00380D10" w:rsidRDefault="00380D10" w:rsidP="00380D10">
      <w:pPr>
        <w:jc w:val="both"/>
        <w:rPr>
          <w:rFonts w:asciiTheme="minorHAnsi" w:hAnsiTheme="minorHAnsi"/>
          <w:color w:val="000000"/>
        </w:rPr>
      </w:pPr>
      <w:r w:rsidRPr="00380D10">
        <w:rPr>
          <w:rFonts w:asciiTheme="minorHAnsi" w:hAnsiTheme="minorHAnsi"/>
          <w:color w:val="000000"/>
        </w:rPr>
        <w:t>This award is for the non-bank owned independent lender is who is best able to demonstrate a proven track record of working well with intermediaries and success in improving business volumes.  Judges will specifically looking for:</w:t>
      </w:r>
    </w:p>
    <w:p w:rsidR="00380D10" w:rsidRPr="00380D10" w:rsidRDefault="00380D10" w:rsidP="00380D10">
      <w:pPr>
        <w:numPr>
          <w:ilvl w:val="0"/>
          <w:numId w:val="38"/>
        </w:numPr>
        <w:spacing w:after="0"/>
        <w:jc w:val="both"/>
        <w:rPr>
          <w:rFonts w:asciiTheme="minorHAnsi" w:eastAsia="Times New Roman" w:hAnsiTheme="minorHAnsi"/>
          <w:color w:val="000000"/>
        </w:rPr>
      </w:pPr>
      <w:r w:rsidRPr="00380D10">
        <w:rPr>
          <w:rFonts w:asciiTheme="minorHAnsi" w:eastAsia="Times New Roman" w:hAnsiTheme="minorHAnsi"/>
          <w:color w:val="000000"/>
        </w:rPr>
        <w:t>What makes the lender stand out from the competition</w:t>
      </w:r>
    </w:p>
    <w:p w:rsidR="00380D10" w:rsidRPr="00380D10" w:rsidRDefault="00380D10" w:rsidP="00380D10">
      <w:pPr>
        <w:numPr>
          <w:ilvl w:val="0"/>
          <w:numId w:val="38"/>
        </w:numPr>
        <w:spacing w:after="0"/>
        <w:jc w:val="both"/>
        <w:rPr>
          <w:rFonts w:asciiTheme="minorHAnsi" w:eastAsia="Times New Roman" w:hAnsiTheme="minorHAnsi"/>
          <w:color w:val="000000"/>
        </w:rPr>
      </w:pPr>
      <w:r w:rsidRPr="00380D10">
        <w:rPr>
          <w:rFonts w:asciiTheme="minorHAnsi" w:eastAsia="Times New Roman" w:hAnsiTheme="minorHAnsi"/>
          <w:color w:val="000000"/>
        </w:rPr>
        <w:t>Development of the business, e.g. new financial products and growth in volumes in 201</w:t>
      </w:r>
      <w:r w:rsidR="0049728B">
        <w:rPr>
          <w:rFonts w:asciiTheme="minorHAnsi" w:eastAsia="Times New Roman" w:hAnsiTheme="minorHAnsi"/>
          <w:color w:val="000000"/>
        </w:rPr>
        <w:t>7</w:t>
      </w:r>
      <w:r w:rsidRPr="00380D10">
        <w:rPr>
          <w:rFonts w:asciiTheme="minorHAnsi" w:eastAsia="Times New Roman" w:hAnsiTheme="minorHAnsi"/>
          <w:color w:val="000000"/>
        </w:rPr>
        <w:t xml:space="preserve"> compared to 201</w:t>
      </w:r>
      <w:r w:rsidR="0049728B">
        <w:rPr>
          <w:rFonts w:asciiTheme="minorHAnsi" w:eastAsia="Times New Roman" w:hAnsiTheme="minorHAnsi"/>
          <w:color w:val="000000"/>
        </w:rPr>
        <w:t>6</w:t>
      </w:r>
      <w:r w:rsidRPr="00380D10">
        <w:rPr>
          <w:rFonts w:asciiTheme="minorHAnsi" w:eastAsia="Times New Roman" w:hAnsiTheme="minorHAnsi"/>
          <w:color w:val="000000"/>
        </w:rPr>
        <w:t>.</w:t>
      </w:r>
    </w:p>
    <w:p w:rsidR="00380D10" w:rsidRPr="00380D10" w:rsidRDefault="00380D10" w:rsidP="00380D10">
      <w:pPr>
        <w:numPr>
          <w:ilvl w:val="0"/>
          <w:numId w:val="38"/>
        </w:numPr>
        <w:spacing w:after="0"/>
        <w:jc w:val="both"/>
        <w:rPr>
          <w:rFonts w:asciiTheme="minorHAnsi" w:eastAsia="Times New Roman" w:hAnsiTheme="minorHAnsi"/>
          <w:color w:val="000000"/>
        </w:rPr>
      </w:pPr>
      <w:r w:rsidRPr="00380D10">
        <w:rPr>
          <w:rFonts w:asciiTheme="minorHAnsi" w:eastAsia="Times New Roman" w:hAnsiTheme="minorHAnsi"/>
          <w:color w:val="000000"/>
        </w:rPr>
        <w:t>Demonstrable relationship success with intermediaries, such as supporting dealer activity or helping with regulatory changes</w:t>
      </w:r>
    </w:p>
    <w:p w:rsidR="00380D10" w:rsidRDefault="00380D10" w:rsidP="00380D10">
      <w:pPr>
        <w:ind w:left="720"/>
        <w:jc w:val="both"/>
        <w:rPr>
          <w:rFonts w:asciiTheme="minorHAnsi" w:eastAsia="Times New Roman" w:hAnsiTheme="minorHAnsi"/>
          <w:color w:val="000000"/>
        </w:rPr>
      </w:pPr>
    </w:p>
    <w:p w:rsidR="00380D10" w:rsidRDefault="00380D10" w:rsidP="00380D10">
      <w:pPr>
        <w:ind w:left="720"/>
        <w:jc w:val="both"/>
        <w:rPr>
          <w:rFonts w:asciiTheme="minorHAnsi" w:eastAsia="Times New Roman" w:hAnsiTheme="minorHAnsi"/>
          <w:color w:val="000000"/>
        </w:rPr>
      </w:pPr>
    </w:p>
    <w:p w:rsidR="00380D10" w:rsidRDefault="00380D10" w:rsidP="00380D10">
      <w:pPr>
        <w:ind w:left="720"/>
        <w:jc w:val="both"/>
        <w:rPr>
          <w:rFonts w:asciiTheme="minorHAnsi" w:eastAsia="Times New Roman" w:hAnsiTheme="minorHAnsi"/>
          <w:color w:val="000000"/>
        </w:rPr>
      </w:pPr>
    </w:p>
    <w:p w:rsidR="00380D10" w:rsidRDefault="00380D10" w:rsidP="00380D10">
      <w:pPr>
        <w:ind w:left="720"/>
        <w:jc w:val="both"/>
        <w:rPr>
          <w:rFonts w:asciiTheme="minorHAnsi" w:eastAsia="Times New Roman" w:hAnsiTheme="minorHAnsi"/>
          <w:color w:val="000000"/>
        </w:rPr>
      </w:pPr>
    </w:p>
    <w:p w:rsidR="00380D10" w:rsidRPr="00380D10" w:rsidRDefault="00380D10" w:rsidP="00380D10">
      <w:pPr>
        <w:ind w:left="720"/>
        <w:jc w:val="both"/>
        <w:rPr>
          <w:rFonts w:asciiTheme="minorHAnsi" w:eastAsia="Times New Roman" w:hAnsiTheme="minorHAnsi"/>
          <w:color w:val="000000"/>
        </w:rPr>
      </w:pPr>
    </w:p>
    <w:p w:rsidR="00380D10" w:rsidRPr="00380D10" w:rsidRDefault="00494D40" w:rsidP="00380D10">
      <w:pPr>
        <w:jc w:val="both"/>
        <w:rPr>
          <w:rFonts w:asciiTheme="minorHAnsi" w:hAnsiTheme="minorHAnsi"/>
          <w:b/>
          <w:bCs/>
          <w:color w:val="943634" w:themeColor="accent2" w:themeShade="BF"/>
        </w:rPr>
      </w:pPr>
      <w:r>
        <w:rPr>
          <w:rFonts w:asciiTheme="minorHAnsi" w:hAnsiTheme="minorHAnsi"/>
          <w:b/>
          <w:bCs/>
          <w:color w:val="943634" w:themeColor="accent2" w:themeShade="BF"/>
        </w:rPr>
        <w:lastRenderedPageBreak/>
        <w:t>Sub-Prime/Non-prime Lender of the Y</w:t>
      </w:r>
      <w:r w:rsidR="00380D10" w:rsidRPr="00380D10">
        <w:rPr>
          <w:rFonts w:asciiTheme="minorHAnsi" w:hAnsiTheme="minorHAnsi"/>
          <w:b/>
          <w:bCs/>
          <w:color w:val="943634" w:themeColor="accent2" w:themeShade="BF"/>
        </w:rPr>
        <w:t>ear:</w:t>
      </w:r>
    </w:p>
    <w:p w:rsidR="00380D10" w:rsidRPr="00380D10" w:rsidRDefault="00380D10" w:rsidP="00380D10">
      <w:pPr>
        <w:jc w:val="both"/>
        <w:rPr>
          <w:rFonts w:asciiTheme="minorHAnsi" w:hAnsiTheme="minorHAnsi"/>
          <w:color w:val="000000"/>
        </w:rPr>
      </w:pPr>
      <w:r w:rsidRPr="00380D10">
        <w:rPr>
          <w:rFonts w:asciiTheme="minorHAnsi" w:hAnsiTheme="minorHAnsi"/>
          <w:color w:val="000000"/>
        </w:rPr>
        <w:t>This award looks to acknowledge those who have provided finance to customers with less than stellar credit histories.  Lending in this important niche usually involves higher rates but higher risks, and this award is looking to see who has best adapted their business to cope with the challenges, and made success of the challenges.  Specifically, judges will look at:</w:t>
      </w:r>
    </w:p>
    <w:p w:rsidR="00380D10" w:rsidRPr="00380D10" w:rsidRDefault="00380D10" w:rsidP="00380D10">
      <w:pPr>
        <w:numPr>
          <w:ilvl w:val="0"/>
          <w:numId w:val="38"/>
        </w:numPr>
        <w:spacing w:after="0"/>
        <w:jc w:val="both"/>
        <w:rPr>
          <w:rFonts w:asciiTheme="minorHAnsi" w:eastAsia="Times New Roman" w:hAnsiTheme="minorHAnsi"/>
          <w:color w:val="000000"/>
        </w:rPr>
      </w:pPr>
      <w:r w:rsidRPr="00380D10">
        <w:rPr>
          <w:rFonts w:asciiTheme="minorHAnsi" w:eastAsia="Times New Roman" w:hAnsiTheme="minorHAnsi"/>
          <w:color w:val="000000"/>
        </w:rPr>
        <w:t>Demonstrate a thorough approach to affordability and credit checking, without overly effecting response times</w:t>
      </w:r>
    </w:p>
    <w:p w:rsidR="00380D10" w:rsidRPr="00380D10" w:rsidRDefault="00380D10" w:rsidP="00380D10">
      <w:pPr>
        <w:numPr>
          <w:ilvl w:val="0"/>
          <w:numId w:val="38"/>
        </w:numPr>
        <w:spacing w:after="0"/>
        <w:jc w:val="both"/>
        <w:rPr>
          <w:rFonts w:asciiTheme="minorHAnsi" w:eastAsia="Times New Roman" w:hAnsiTheme="minorHAnsi"/>
          <w:color w:val="000000"/>
        </w:rPr>
      </w:pPr>
      <w:r w:rsidRPr="00380D10">
        <w:rPr>
          <w:rFonts w:asciiTheme="minorHAnsi" w:eastAsia="Times New Roman" w:hAnsiTheme="minorHAnsi"/>
          <w:color w:val="000000"/>
        </w:rPr>
        <w:t>How customers whose circumstances have changed and are in need of further assistance are taken care of</w:t>
      </w:r>
    </w:p>
    <w:p w:rsidR="00380D10" w:rsidRPr="00380D10" w:rsidRDefault="00380D10" w:rsidP="00380D10">
      <w:pPr>
        <w:numPr>
          <w:ilvl w:val="0"/>
          <w:numId w:val="38"/>
        </w:numPr>
        <w:spacing w:after="0"/>
        <w:rPr>
          <w:rFonts w:asciiTheme="minorHAnsi" w:eastAsia="Times New Roman" w:hAnsiTheme="minorHAnsi"/>
          <w:color w:val="000000"/>
        </w:rPr>
      </w:pPr>
      <w:r w:rsidRPr="00380D10">
        <w:rPr>
          <w:rFonts w:asciiTheme="minorHAnsi" w:eastAsia="Times New Roman" w:hAnsiTheme="minorHAnsi"/>
          <w:color w:val="000000"/>
        </w:rPr>
        <w:t>Products specifically designed to be appropriate to sub-prime customers.</w:t>
      </w:r>
    </w:p>
    <w:p w:rsidR="00380D10" w:rsidRPr="00380D10" w:rsidRDefault="00380D10" w:rsidP="00380D10">
      <w:pPr>
        <w:rPr>
          <w:rFonts w:asciiTheme="minorHAnsi" w:eastAsia="Times New Roman" w:hAnsiTheme="minorHAnsi"/>
          <w:color w:val="000000"/>
        </w:rPr>
      </w:pPr>
    </w:p>
    <w:p w:rsidR="00380D10" w:rsidRPr="00380D10" w:rsidRDefault="00494D40" w:rsidP="00380D10">
      <w:pPr>
        <w:jc w:val="both"/>
        <w:rPr>
          <w:rFonts w:asciiTheme="minorHAnsi" w:hAnsiTheme="minorHAnsi"/>
          <w:b/>
          <w:bCs/>
          <w:color w:val="943634" w:themeColor="accent2" w:themeShade="BF"/>
        </w:rPr>
      </w:pPr>
      <w:r>
        <w:rPr>
          <w:rFonts w:asciiTheme="minorHAnsi" w:hAnsiTheme="minorHAnsi"/>
          <w:b/>
          <w:bCs/>
          <w:color w:val="943634" w:themeColor="accent2" w:themeShade="BF"/>
        </w:rPr>
        <w:t>Intermediary of the Y</w:t>
      </w:r>
      <w:r w:rsidR="00380D10" w:rsidRPr="00380D10">
        <w:rPr>
          <w:rFonts w:asciiTheme="minorHAnsi" w:hAnsiTheme="minorHAnsi"/>
          <w:b/>
          <w:bCs/>
          <w:color w:val="943634" w:themeColor="accent2" w:themeShade="BF"/>
        </w:rPr>
        <w:t>ear:</w:t>
      </w:r>
    </w:p>
    <w:p w:rsidR="00380D10" w:rsidRPr="00380D10" w:rsidRDefault="00380D10" w:rsidP="00380D10">
      <w:pPr>
        <w:jc w:val="both"/>
        <w:rPr>
          <w:rFonts w:asciiTheme="minorHAnsi" w:hAnsiTheme="minorHAnsi"/>
          <w:color w:val="000000"/>
        </w:rPr>
      </w:pPr>
      <w:r w:rsidRPr="00380D10">
        <w:rPr>
          <w:rFonts w:asciiTheme="minorHAnsi" w:hAnsiTheme="minorHAnsi"/>
          <w:color w:val="000000"/>
        </w:rPr>
        <w:t>Be it broker or dealer, intermediaries are the life blood of the industry, and vital for introducing new business to all finance companies.  While sizes vary from small operations to huge franchised networks, success always involves a unique mix of relationship management, technology and processes, and recent regulatory changes have only made things harder.  For this award judges will be looking at:</w:t>
      </w:r>
    </w:p>
    <w:p w:rsidR="00380D10" w:rsidRPr="00380D10" w:rsidRDefault="00380D10" w:rsidP="00380D10">
      <w:pPr>
        <w:numPr>
          <w:ilvl w:val="0"/>
          <w:numId w:val="38"/>
        </w:numPr>
        <w:spacing w:after="0"/>
        <w:jc w:val="both"/>
        <w:rPr>
          <w:rFonts w:asciiTheme="minorHAnsi" w:eastAsia="Times New Roman" w:hAnsiTheme="minorHAnsi"/>
          <w:color w:val="000000"/>
        </w:rPr>
      </w:pPr>
      <w:r w:rsidRPr="00380D10">
        <w:rPr>
          <w:rFonts w:asciiTheme="minorHAnsi" w:eastAsia="Times New Roman" w:hAnsiTheme="minorHAnsi"/>
          <w:color w:val="000000"/>
        </w:rPr>
        <w:t>Proposal acceptance rates</w:t>
      </w:r>
    </w:p>
    <w:p w:rsidR="00380D10" w:rsidRPr="00380D10" w:rsidRDefault="00380D10" w:rsidP="00380D10">
      <w:pPr>
        <w:numPr>
          <w:ilvl w:val="0"/>
          <w:numId w:val="38"/>
        </w:numPr>
        <w:spacing w:after="0"/>
        <w:jc w:val="both"/>
        <w:rPr>
          <w:rFonts w:asciiTheme="minorHAnsi" w:eastAsia="Times New Roman" w:hAnsiTheme="minorHAnsi"/>
          <w:color w:val="000000"/>
        </w:rPr>
      </w:pPr>
      <w:r w:rsidRPr="00380D10">
        <w:rPr>
          <w:rFonts w:asciiTheme="minorHAnsi" w:eastAsia="Times New Roman" w:hAnsiTheme="minorHAnsi"/>
          <w:color w:val="000000"/>
        </w:rPr>
        <w:t>Investment in staff and processes</w:t>
      </w:r>
    </w:p>
    <w:p w:rsidR="00380D10" w:rsidRPr="00380D10" w:rsidRDefault="00380D10" w:rsidP="00380D10">
      <w:pPr>
        <w:numPr>
          <w:ilvl w:val="0"/>
          <w:numId w:val="38"/>
        </w:numPr>
        <w:spacing w:after="0"/>
        <w:jc w:val="both"/>
        <w:rPr>
          <w:rFonts w:asciiTheme="minorHAnsi" w:eastAsia="Times New Roman" w:hAnsiTheme="minorHAnsi"/>
          <w:color w:val="000000"/>
        </w:rPr>
      </w:pPr>
      <w:r w:rsidRPr="00380D10">
        <w:rPr>
          <w:rFonts w:asciiTheme="minorHAnsi" w:eastAsia="Times New Roman" w:hAnsiTheme="minorHAnsi"/>
          <w:color w:val="000000"/>
        </w:rPr>
        <w:t>Demonstrable ability to add value to lending partners’ sales operations</w:t>
      </w:r>
    </w:p>
    <w:p w:rsidR="00380D10" w:rsidRPr="00380D10" w:rsidRDefault="00380D10" w:rsidP="00380D10">
      <w:pPr>
        <w:numPr>
          <w:ilvl w:val="0"/>
          <w:numId w:val="38"/>
        </w:numPr>
        <w:spacing w:after="0"/>
        <w:jc w:val="both"/>
        <w:rPr>
          <w:rFonts w:asciiTheme="minorHAnsi" w:eastAsia="Times New Roman" w:hAnsiTheme="minorHAnsi"/>
          <w:color w:val="000000"/>
        </w:rPr>
      </w:pPr>
      <w:r w:rsidRPr="00380D10">
        <w:rPr>
          <w:rFonts w:asciiTheme="minorHAnsi" w:eastAsia="Times New Roman" w:hAnsiTheme="minorHAnsi"/>
          <w:color w:val="000000"/>
        </w:rPr>
        <w:t>Relationships with lessors</w:t>
      </w:r>
    </w:p>
    <w:p w:rsidR="00380D10" w:rsidRPr="00380D10" w:rsidRDefault="00380D10" w:rsidP="00380D10">
      <w:pPr>
        <w:jc w:val="both"/>
        <w:rPr>
          <w:rFonts w:asciiTheme="minorHAnsi" w:hAnsiTheme="minorHAnsi"/>
          <w:b/>
          <w:bCs/>
          <w:color w:val="943634" w:themeColor="accent2" w:themeShade="BF"/>
        </w:rPr>
      </w:pPr>
    </w:p>
    <w:p w:rsidR="00380D10" w:rsidRPr="00380D10" w:rsidRDefault="00494D40" w:rsidP="00380D10">
      <w:pPr>
        <w:jc w:val="both"/>
        <w:rPr>
          <w:rFonts w:asciiTheme="minorHAnsi" w:hAnsiTheme="minorHAnsi"/>
          <w:b/>
          <w:bCs/>
          <w:color w:val="943634" w:themeColor="accent2" w:themeShade="BF"/>
        </w:rPr>
      </w:pPr>
      <w:r>
        <w:rPr>
          <w:rFonts w:asciiTheme="minorHAnsi" w:hAnsiTheme="minorHAnsi"/>
          <w:b/>
          <w:bCs/>
          <w:color w:val="943634" w:themeColor="accent2" w:themeShade="BF"/>
        </w:rPr>
        <w:t>Legal Provider of the Y</w:t>
      </w:r>
      <w:r w:rsidR="00380D10" w:rsidRPr="00380D10">
        <w:rPr>
          <w:rFonts w:asciiTheme="minorHAnsi" w:hAnsiTheme="minorHAnsi"/>
          <w:b/>
          <w:bCs/>
          <w:color w:val="943634" w:themeColor="accent2" w:themeShade="BF"/>
        </w:rPr>
        <w:t>ear:</w:t>
      </w:r>
    </w:p>
    <w:p w:rsidR="00380D10" w:rsidRPr="00380D10" w:rsidRDefault="00380D10" w:rsidP="00380D10">
      <w:pPr>
        <w:jc w:val="both"/>
        <w:rPr>
          <w:rFonts w:asciiTheme="minorHAnsi" w:hAnsiTheme="minorHAnsi"/>
          <w:color w:val="000000"/>
        </w:rPr>
      </w:pPr>
      <w:r w:rsidRPr="00380D10">
        <w:rPr>
          <w:rFonts w:asciiTheme="minorHAnsi" w:hAnsiTheme="minorHAnsi"/>
          <w:color w:val="000000"/>
        </w:rPr>
        <w:t>This award will recognise a legal services provider of any size that is deemed to transact a significant proportion of its business in the motor finance industry. Judges take into account:</w:t>
      </w:r>
    </w:p>
    <w:p w:rsidR="00380D10" w:rsidRPr="00380D10" w:rsidRDefault="00380D10" w:rsidP="00380D10">
      <w:pPr>
        <w:pStyle w:val="ListParagraph"/>
        <w:numPr>
          <w:ilvl w:val="0"/>
          <w:numId w:val="39"/>
        </w:numPr>
        <w:spacing w:after="0" w:line="240" w:lineRule="auto"/>
        <w:jc w:val="both"/>
        <w:rPr>
          <w:rFonts w:asciiTheme="minorHAnsi" w:hAnsiTheme="minorHAnsi"/>
          <w:color w:val="000000"/>
        </w:rPr>
      </w:pPr>
      <w:r w:rsidRPr="00380D10">
        <w:rPr>
          <w:rFonts w:asciiTheme="minorHAnsi" w:hAnsiTheme="minorHAnsi"/>
          <w:color w:val="000000"/>
        </w:rPr>
        <w:t xml:space="preserve">Team expertise in law relating to motor finance </w:t>
      </w:r>
    </w:p>
    <w:p w:rsidR="00380D10" w:rsidRPr="00380D10" w:rsidRDefault="00380D10" w:rsidP="00380D10">
      <w:pPr>
        <w:pStyle w:val="ListParagraph"/>
        <w:numPr>
          <w:ilvl w:val="0"/>
          <w:numId w:val="39"/>
        </w:numPr>
        <w:spacing w:after="0" w:line="240" w:lineRule="auto"/>
        <w:jc w:val="both"/>
        <w:rPr>
          <w:rFonts w:asciiTheme="minorHAnsi" w:hAnsiTheme="minorHAnsi"/>
          <w:color w:val="000000"/>
        </w:rPr>
      </w:pPr>
      <w:r w:rsidRPr="00380D10">
        <w:rPr>
          <w:rFonts w:asciiTheme="minorHAnsi" w:hAnsiTheme="minorHAnsi"/>
          <w:color w:val="000000"/>
        </w:rPr>
        <w:t xml:space="preserve">Visibility and influence in the marketplace </w:t>
      </w:r>
    </w:p>
    <w:p w:rsidR="00380D10" w:rsidRPr="00380D10" w:rsidRDefault="00380D10" w:rsidP="00380D10">
      <w:pPr>
        <w:pStyle w:val="ListParagraph"/>
        <w:numPr>
          <w:ilvl w:val="0"/>
          <w:numId w:val="39"/>
        </w:numPr>
        <w:spacing w:after="0" w:line="240" w:lineRule="auto"/>
        <w:jc w:val="both"/>
        <w:rPr>
          <w:rFonts w:asciiTheme="minorHAnsi" w:hAnsiTheme="minorHAnsi"/>
          <w:color w:val="000000"/>
        </w:rPr>
      </w:pPr>
      <w:r w:rsidRPr="00380D10">
        <w:rPr>
          <w:rFonts w:asciiTheme="minorHAnsi" w:hAnsiTheme="minorHAnsi"/>
          <w:color w:val="000000"/>
        </w:rPr>
        <w:t xml:space="preserve">Versatility, both in terms of types of work undertaken (litigation, transactional etc)    </w:t>
      </w:r>
    </w:p>
    <w:p w:rsidR="00380D10" w:rsidRPr="00380D10" w:rsidRDefault="00380D10" w:rsidP="00380D10">
      <w:pPr>
        <w:pStyle w:val="ListParagraph"/>
        <w:numPr>
          <w:ilvl w:val="0"/>
          <w:numId w:val="39"/>
        </w:numPr>
        <w:spacing w:after="0" w:line="240" w:lineRule="auto"/>
        <w:jc w:val="both"/>
        <w:rPr>
          <w:rFonts w:asciiTheme="minorHAnsi" w:hAnsiTheme="minorHAnsi"/>
          <w:color w:val="000000"/>
        </w:rPr>
      </w:pPr>
      <w:r w:rsidRPr="00380D10">
        <w:rPr>
          <w:rFonts w:asciiTheme="minorHAnsi" w:hAnsiTheme="minorHAnsi"/>
          <w:color w:val="000000"/>
        </w:rPr>
        <w:t xml:space="preserve">Volume and complexity of work undertaken </w:t>
      </w:r>
    </w:p>
    <w:p w:rsidR="00380D10" w:rsidRPr="00380D10" w:rsidRDefault="00380D10" w:rsidP="00380D10">
      <w:pPr>
        <w:pStyle w:val="ListParagraph"/>
        <w:numPr>
          <w:ilvl w:val="0"/>
          <w:numId w:val="39"/>
        </w:numPr>
        <w:spacing w:after="0" w:line="240" w:lineRule="auto"/>
        <w:jc w:val="both"/>
        <w:rPr>
          <w:rFonts w:asciiTheme="minorHAnsi" w:eastAsia="Times New Roman" w:hAnsiTheme="minorHAnsi"/>
          <w:color w:val="000000"/>
        </w:rPr>
      </w:pPr>
      <w:r w:rsidRPr="00380D10">
        <w:rPr>
          <w:rFonts w:asciiTheme="minorHAnsi" w:hAnsiTheme="minorHAnsi"/>
          <w:color w:val="000000"/>
        </w:rPr>
        <w:t>Notable successes</w:t>
      </w:r>
      <w:r w:rsidRPr="00380D10">
        <w:rPr>
          <w:rFonts w:asciiTheme="minorHAnsi" w:eastAsia="Times New Roman" w:hAnsiTheme="minorHAnsi"/>
          <w:color w:val="000000"/>
        </w:rPr>
        <w:t xml:space="preserve"> on behalf of clients</w:t>
      </w:r>
    </w:p>
    <w:p w:rsidR="00380D10" w:rsidRDefault="00380D10" w:rsidP="00380D10">
      <w:pPr>
        <w:pStyle w:val="ListParagraph"/>
        <w:jc w:val="both"/>
        <w:rPr>
          <w:rFonts w:asciiTheme="minorHAnsi" w:eastAsia="Times New Roman" w:hAnsiTheme="minorHAnsi"/>
          <w:color w:val="000000"/>
        </w:rPr>
      </w:pPr>
    </w:p>
    <w:p w:rsidR="00380D10" w:rsidRDefault="00380D10" w:rsidP="00380D10">
      <w:pPr>
        <w:pStyle w:val="ListParagraph"/>
        <w:jc w:val="both"/>
        <w:rPr>
          <w:rFonts w:asciiTheme="minorHAnsi" w:eastAsia="Times New Roman" w:hAnsiTheme="minorHAnsi"/>
          <w:color w:val="000000"/>
        </w:rPr>
      </w:pPr>
    </w:p>
    <w:p w:rsidR="00380D10" w:rsidRDefault="00380D10" w:rsidP="00380D10">
      <w:pPr>
        <w:pStyle w:val="ListParagraph"/>
        <w:jc w:val="both"/>
        <w:rPr>
          <w:rFonts w:asciiTheme="minorHAnsi" w:eastAsia="Times New Roman" w:hAnsiTheme="minorHAnsi"/>
          <w:color w:val="000000"/>
        </w:rPr>
      </w:pPr>
    </w:p>
    <w:p w:rsidR="00380D10" w:rsidRDefault="00380D10" w:rsidP="00380D10">
      <w:pPr>
        <w:pStyle w:val="ListParagraph"/>
        <w:jc w:val="both"/>
        <w:rPr>
          <w:rFonts w:asciiTheme="minorHAnsi" w:eastAsia="Times New Roman" w:hAnsiTheme="minorHAnsi"/>
          <w:color w:val="000000"/>
        </w:rPr>
      </w:pPr>
    </w:p>
    <w:p w:rsidR="00380D10" w:rsidRDefault="00380D10" w:rsidP="00380D10">
      <w:pPr>
        <w:pStyle w:val="ListParagraph"/>
        <w:jc w:val="both"/>
        <w:rPr>
          <w:rFonts w:asciiTheme="minorHAnsi" w:eastAsia="Times New Roman" w:hAnsiTheme="minorHAnsi"/>
          <w:color w:val="000000"/>
        </w:rPr>
      </w:pPr>
    </w:p>
    <w:p w:rsidR="00380D10" w:rsidRDefault="00380D10" w:rsidP="00380D10">
      <w:pPr>
        <w:pStyle w:val="ListParagraph"/>
        <w:jc w:val="both"/>
        <w:rPr>
          <w:rFonts w:asciiTheme="minorHAnsi" w:eastAsia="Times New Roman" w:hAnsiTheme="minorHAnsi"/>
          <w:color w:val="000000"/>
        </w:rPr>
      </w:pPr>
    </w:p>
    <w:p w:rsidR="00380D10" w:rsidRDefault="00380D10" w:rsidP="00380D10">
      <w:pPr>
        <w:pStyle w:val="ListParagraph"/>
        <w:jc w:val="both"/>
        <w:rPr>
          <w:rFonts w:asciiTheme="minorHAnsi" w:eastAsia="Times New Roman" w:hAnsiTheme="minorHAnsi"/>
          <w:color w:val="000000"/>
        </w:rPr>
      </w:pPr>
    </w:p>
    <w:p w:rsidR="00380D10" w:rsidRDefault="00380D10" w:rsidP="00380D10">
      <w:pPr>
        <w:pStyle w:val="ListParagraph"/>
        <w:jc w:val="both"/>
        <w:rPr>
          <w:rFonts w:asciiTheme="minorHAnsi" w:eastAsia="Times New Roman" w:hAnsiTheme="minorHAnsi"/>
          <w:color w:val="000000"/>
        </w:rPr>
      </w:pPr>
    </w:p>
    <w:p w:rsidR="00380D10" w:rsidRPr="00380D10" w:rsidRDefault="00380D10" w:rsidP="00380D10">
      <w:pPr>
        <w:pStyle w:val="ListParagraph"/>
        <w:jc w:val="both"/>
        <w:rPr>
          <w:rFonts w:asciiTheme="minorHAnsi" w:eastAsia="Times New Roman" w:hAnsiTheme="minorHAnsi"/>
          <w:color w:val="000000"/>
        </w:rPr>
      </w:pPr>
    </w:p>
    <w:p w:rsidR="00380D10" w:rsidRPr="00380D10" w:rsidRDefault="00494D40" w:rsidP="00380D10">
      <w:pPr>
        <w:rPr>
          <w:rFonts w:asciiTheme="minorHAnsi" w:hAnsiTheme="minorHAnsi"/>
          <w:b/>
          <w:bCs/>
          <w:color w:val="943634" w:themeColor="accent2" w:themeShade="BF"/>
        </w:rPr>
      </w:pPr>
      <w:r>
        <w:rPr>
          <w:rFonts w:asciiTheme="minorHAnsi" w:hAnsiTheme="minorHAnsi"/>
          <w:b/>
          <w:bCs/>
          <w:color w:val="943634" w:themeColor="accent2" w:themeShade="BF"/>
        </w:rPr>
        <w:lastRenderedPageBreak/>
        <w:t>Fleet Services Provider of the Y</w:t>
      </w:r>
      <w:r w:rsidR="00380D10" w:rsidRPr="00380D10">
        <w:rPr>
          <w:rFonts w:asciiTheme="minorHAnsi" w:hAnsiTheme="minorHAnsi"/>
          <w:b/>
          <w:bCs/>
          <w:color w:val="943634" w:themeColor="accent2" w:themeShade="BF"/>
        </w:rPr>
        <w:t>ear</w:t>
      </w:r>
    </w:p>
    <w:p w:rsidR="00380D10" w:rsidRPr="00380D10" w:rsidRDefault="00380D10" w:rsidP="00380D10">
      <w:pPr>
        <w:rPr>
          <w:rFonts w:asciiTheme="minorHAnsi" w:hAnsiTheme="minorHAnsi"/>
        </w:rPr>
      </w:pPr>
      <w:r w:rsidRPr="00380D10">
        <w:rPr>
          <w:rFonts w:asciiTheme="minorHAnsi" w:hAnsiTheme="minorHAnsi"/>
        </w:rPr>
        <w:t>This award looks to acknowledge fleet service and management providers who go the extra mile for their clients.  The industry these days is so much more than leasing cars, and a good provider can actively improve a client’s productivity while lowering fleet costs. Judges will specifically be looking at:</w:t>
      </w:r>
    </w:p>
    <w:p w:rsidR="00380D10" w:rsidRPr="00380D10" w:rsidRDefault="00380D10" w:rsidP="00380D10">
      <w:pPr>
        <w:pStyle w:val="ListParagraph"/>
        <w:numPr>
          <w:ilvl w:val="0"/>
          <w:numId w:val="41"/>
        </w:numPr>
        <w:spacing w:after="0" w:line="240" w:lineRule="auto"/>
        <w:rPr>
          <w:rFonts w:asciiTheme="minorHAnsi" w:hAnsiTheme="minorHAnsi"/>
        </w:rPr>
      </w:pPr>
      <w:r w:rsidRPr="00380D10">
        <w:rPr>
          <w:rFonts w:asciiTheme="minorHAnsi" w:hAnsiTheme="minorHAnsi"/>
        </w:rPr>
        <w:t>How the provider helps its clients to identify improvement to fleet productivity</w:t>
      </w:r>
    </w:p>
    <w:p w:rsidR="00380D10" w:rsidRPr="00380D10" w:rsidRDefault="00380D10" w:rsidP="00380D10">
      <w:pPr>
        <w:pStyle w:val="ListParagraph"/>
        <w:numPr>
          <w:ilvl w:val="0"/>
          <w:numId w:val="41"/>
        </w:numPr>
        <w:spacing w:after="0" w:line="240" w:lineRule="auto"/>
        <w:rPr>
          <w:rFonts w:asciiTheme="minorHAnsi" w:hAnsiTheme="minorHAnsi"/>
        </w:rPr>
      </w:pPr>
      <w:r w:rsidRPr="00380D10">
        <w:rPr>
          <w:rFonts w:asciiTheme="minorHAnsi" w:hAnsiTheme="minorHAnsi"/>
        </w:rPr>
        <w:t>How individual client needs are taken into account.</w:t>
      </w:r>
    </w:p>
    <w:p w:rsidR="00380D10" w:rsidRDefault="00380D10" w:rsidP="00380D10">
      <w:pPr>
        <w:pStyle w:val="ListParagraph"/>
        <w:numPr>
          <w:ilvl w:val="0"/>
          <w:numId w:val="41"/>
        </w:numPr>
        <w:spacing w:after="0" w:line="240" w:lineRule="auto"/>
        <w:rPr>
          <w:rFonts w:asciiTheme="minorHAnsi" w:hAnsiTheme="minorHAnsi"/>
        </w:rPr>
      </w:pPr>
      <w:r w:rsidRPr="00380D10">
        <w:rPr>
          <w:rFonts w:asciiTheme="minorHAnsi" w:hAnsiTheme="minorHAnsi"/>
        </w:rPr>
        <w:t>Evidence of strategic progress over the past 12 months.</w:t>
      </w:r>
    </w:p>
    <w:p w:rsidR="0049728B" w:rsidRDefault="0049728B" w:rsidP="0049728B">
      <w:pPr>
        <w:spacing w:after="0" w:line="240" w:lineRule="auto"/>
        <w:rPr>
          <w:rFonts w:asciiTheme="minorHAnsi" w:hAnsiTheme="minorHAnsi"/>
        </w:rPr>
      </w:pPr>
    </w:p>
    <w:p w:rsidR="0049728B" w:rsidRPr="007C5BE6" w:rsidRDefault="0049728B" w:rsidP="0049728B">
      <w:pPr>
        <w:rPr>
          <w:rFonts w:asciiTheme="minorHAnsi" w:hAnsiTheme="minorHAnsi"/>
          <w:b/>
          <w:color w:val="943634" w:themeColor="accent2" w:themeShade="BF"/>
        </w:rPr>
      </w:pPr>
      <w:r w:rsidRPr="007C5BE6">
        <w:rPr>
          <w:rFonts w:asciiTheme="minorHAnsi" w:hAnsiTheme="minorHAnsi"/>
          <w:b/>
          <w:color w:val="943634" w:themeColor="accent2" w:themeShade="BF"/>
        </w:rPr>
        <w:t>Digital Innovation of the Year: Fleet</w:t>
      </w:r>
    </w:p>
    <w:p w:rsidR="0049728B" w:rsidRPr="007C5BE6" w:rsidRDefault="0049728B" w:rsidP="0049728B">
      <w:pPr>
        <w:rPr>
          <w:rFonts w:asciiTheme="minorHAnsi" w:hAnsiTheme="minorHAnsi"/>
        </w:rPr>
      </w:pPr>
      <w:r w:rsidRPr="007C5BE6">
        <w:rPr>
          <w:rFonts w:asciiTheme="minorHAnsi" w:hAnsiTheme="minorHAnsi"/>
        </w:rPr>
        <w:t xml:space="preserve">This award is designed to recognise a specific digital innovation from a fleet services provider in the past 12 months. We’re looking for entries to demonstrate how this innovation does something </w:t>
      </w:r>
      <w:r w:rsidR="003422D3" w:rsidRPr="007C5BE6">
        <w:rPr>
          <w:rFonts w:asciiTheme="minorHAnsi" w:hAnsiTheme="minorHAnsi"/>
        </w:rPr>
        <w:t>new in the fleet market</w:t>
      </w:r>
      <w:r w:rsidRPr="007C5BE6">
        <w:rPr>
          <w:rFonts w:asciiTheme="minorHAnsi" w:hAnsiTheme="minorHAnsi"/>
        </w:rPr>
        <w:t>. Specifically, judges will consider:</w:t>
      </w:r>
    </w:p>
    <w:p w:rsidR="0049728B" w:rsidRPr="007C5BE6" w:rsidRDefault="0049728B" w:rsidP="0049728B">
      <w:pPr>
        <w:pStyle w:val="ListParagraph"/>
        <w:numPr>
          <w:ilvl w:val="0"/>
          <w:numId w:val="44"/>
        </w:numPr>
        <w:spacing w:after="0" w:line="240" w:lineRule="auto"/>
        <w:rPr>
          <w:rFonts w:asciiTheme="minorHAnsi" w:hAnsiTheme="minorHAnsi"/>
        </w:rPr>
      </w:pPr>
      <w:r w:rsidRPr="007C5BE6">
        <w:rPr>
          <w:rFonts w:asciiTheme="minorHAnsi" w:hAnsiTheme="minorHAnsi"/>
        </w:rPr>
        <w:t>Entrants must make clear what the specific digital innovation of the past 12 months is.</w:t>
      </w:r>
    </w:p>
    <w:p w:rsidR="0049728B" w:rsidRPr="007C5BE6" w:rsidRDefault="008D550B" w:rsidP="0049728B">
      <w:pPr>
        <w:pStyle w:val="ListParagraph"/>
        <w:numPr>
          <w:ilvl w:val="0"/>
          <w:numId w:val="44"/>
        </w:numPr>
        <w:spacing w:after="0" w:line="240" w:lineRule="auto"/>
        <w:rPr>
          <w:rFonts w:asciiTheme="minorHAnsi" w:hAnsiTheme="minorHAnsi"/>
        </w:rPr>
      </w:pPr>
      <w:r w:rsidRPr="007C5BE6">
        <w:rPr>
          <w:rFonts w:asciiTheme="minorHAnsi" w:hAnsiTheme="minorHAnsi"/>
        </w:rPr>
        <w:t>An explanation and evidence of how the</w:t>
      </w:r>
      <w:r w:rsidR="0049728B" w:rsidRPr="007C5BE6">
        <w:rPr>
          <w:rFonts w:asciiTheme="minorHAnsi" w:hAnsiTheme="minorHAnsi"/>
        </w:rPr>
        <w:t xml:space="preserve"> innovation improves the customer experience</w:t>
      </w:r>
      <w:r w:rsidR="003422D3" w:rsidRPr="007C5BE6">
        <w:rPr>
          <w:rFonts w:asciiTheme="minorHAnsi" w:hAnsiTheme="minorHAnsi"/>
        </w:rPr>
        <w:t xml:space="preserve"> or improves the environmental impact of fleets</w:t>
      </w:r>
      <w:r w:rsidR="0049728B" w:rsidRPr="007C5BE6">
        <w:rPr>
          <w:rFonts w:asciiTheme="minorHAnsi" w:hAnsiTheme="minorHAnsi"/>
        </w:rPr>
        <w:t>.</w:t>
      </w:r>
    </w:p>
    <w:p w:rsidR="0049728B" w:rsidRPr="007C5BE6" w:rsidRDefault="0049728B" w:rsidP="0049728B">
      <w:pPr>
        <w:pStyle w:val="ListParagraph"/>
        <w:numPr>
          <w:ilvl w:val="0"/>
          <w:numId w:val="44"/>
        </w:numPr>
        <w:spacing w:after="0" w:line="240" w:lineRule="auto"/>
        <w:rPr>
          <w:rFonts w:asciiTheme="minorHAnsi" w:hAnsiTheme="minorHAnsi"/>
        </w:rPr>
      </w:pPr>
      <w:r w:rsidRPr="007C5BE6">
        <w:rPr>
          <w:rFonts w:asciiTheme="minorHAnsi" w:hAnsiTheme="minorHAnsi"/>
        </w:rPr>
        <w:t xml:space="preserve">How does this innovation improve </w:t>
      </w:r>
      <w:r w:rsidR="00E53A2A" w:rsidRPr="007C5BE6">
        <w:rPr>
          <w:rFonts w:asciiTheme="minorHAnsi" w:hAnsiTheme="minorHAnsi"/>
        </w:rPr>
        <w:t>the lives of fleet managers, drivers or both</w:t>
      </w:r>
      <w:r w:rsidRPr="007C5BE6">
        <w:rPr>
          <w:rFonts w:asciiTheme="minorHAnsi" w:hAnsiTheme="minorHAnsi"/>
        </w:rPr>
        <w:t>?</w:t>
      </w:r>
    </w:p>
    <w:p w:rsidR="0049728B" w:rsidRPr="007C5BE6" w:rsidRDefault="0049728B" w:rsidP="0049728B">
      <w:pPr>
        <w:spacing w:after="0" w:line="240" w:lineRule="auto"/>
        <w:rPr>
          <w:rFonts w:asciiTheme="minorHAnsi" w:hAnsiTheme="minorHAnsi"/>
        </w:rPr>
      </w:pPr>
    </w:p>
    <w:p w:rsidR="00CC75F6" w:rsidRPr="007C5BE6" w:rsidRDefault="00CC75F6" w:rsidP="00380D10">
      <w:pPr>
        <w:rPr>
          <w:rFonts w:asciiTheme="minorHAnsi" w:hAnsiTheme="minorHAnsi"/>
          <w:b/>
          <w:color w:val="943634" w:themeColor="accent2" w:themeShade="BF"/>
        </w:rPr>
      </w:pPr>
    </w:p>
    <w:p w:rsidR="00380D10" w:rsidRPr="007C5BE6" w:rsidRDefault="00494D40" w:rsidP="00380D10">
      <w:pPr>
        <w:rPr>
          <w:rFonts w:asciiTheme="minorHAnsi" w:hAnsiTheme="minorHAnsi"/>
          <w:b/>
          <w:color w:val="943634" w:themeColor="accent2" w:themeShade="BF"/>
        </w:rPr>
      </w:pPr>
      <w:r w:rsidRPr="007C5BE6">
        <w:rPr>
          <w:rFonts w:asciiTheme="minorHAnsi" w:hAnsiTheme="minorHAnsi"/>
          <w:b/>
          <w:color w:val="943634" w:themeColor="accent2" w:themeShade="BF"/>
        </w:rPr>
        <w:t>Digital Innovation of the Y</w:t>
      </w:r>
      <w:r w:rsidR="00380D10" w:rsidRPr="007C5BE6">
        <w:rPr>
          <w:rFonts w:asciiTheme="minorHAnsi" w:hAnsiTheme="minorHAnsi"/>
          <w:b/>
          <w:color w:val="943634" w:themeColor="accent2" w:themeShade="BF"/>
        </w:rPr>
        <w:t>ear</w:t>
      </w:r>
      <w:r w:rsidR="00E53A2A" w:rsidRPr="007C5BE6">
        <w:rPr>
          <w:rFonts w:asciiTheme="minorHAnsi" w:hAnsiTheme="minorHAnsi"/>
          <w:b/>
          <w:color w:val="943634" w:themeColor="accent2" w:themeShade="BF"/>
        </w:rPr>
        <w:t>: Consumer lending</w:t>
      </w:r>
    </w:p>
    <w:p w:rsidR="00380D10" w:rsidRPr="007C5BE6" w:rsidRDefault="00380D10" w:rsidP="00380D10">
      <w:pPr>
        <w:rPr>
          <w:rFonts w:asciiTheme="minorHAnsi" w:hAnsiTheme="minorHAnsi"/>
        </w:rPr>
      </w:pPr>
      <w:r w:rsidRPr="007C5BE6">
        <w:rPr>
          <w:rFonts w:asciiTheme="minorHAnsi" w:hAnsiTheme="minorHAnsi"/>
        </w:rPr>
        <w:t xml:space="preserve">This award is designed to recognise a specific digital innovation from </w:t>
      </w:r>
      <w:r w:rsidR="00AB26C6" w:rsidRPr="007C5BE6">
        <w:rPr>
          <w:rFonts w:asciiTheme="minorHAnsi" w:hAnsiTheme="minorHAnsi"/>
        </w:rPr>
        <w:t xml:space="preserve">a lender or broker in </w:t>
      </w:r>
      <w:r w:rsidRPr="007C5BE6">
        <w:rPr>
          <w:rFonts w:asciiTheme="minorHAnsi" w:hAnsiTheme="minorHAnsi"/>
        </w:rPr>
        <w:t>the past 12 months which has driven forward the digital frontier of motor finance. We’re looking for entries to demonstrate how this innovation does something not done elsewhere or before. Specifically, judges will consider:</w:t>
      </w:r>
    </w:p>
    <w:p w:rsidR="00380D10" w:rsidRPr="007C5BE6" w:rsidRDefault="00380D10" w:rsidP="00380D10">
      <w:pPr>
        <w:pStyle w:val="ListParagraph"/>
        <w:numPr>
          <w:ilvl w:val="0"/>
          <w:numId w:val="44"/>
        </w:numPr>
        <w:spacing w:after="0" w:line="240" w:lineRule="auto"/>
        <w:rPr>
          <w:rFonts w:asciiTheme="minorHAnsi" w:hAnsiTheme="minorHAnsi"/>
        </w:rPr>
      </w:pPr>
      <w:r w:rsidRPr="007C5BE6">
        <w:rPr>
          <w:rFonts w:asciiTheme="minorHAnsi" w:hAnsiTheme="minorHAnsi"/>
        </w:rPr>
        <w:t>Entrants must make clear what the specific digital innovation of the past 12 months is.</w:t>
      </w:r>
    </w:p>
    <w:p w:rsidR="00380D10" w:rsidRPr="007C5BE6" w:rsidRDefault="00380D10" w:rsidP="00380D10">
      <w:pPr>
        <w:pStyle w:val="ListParagraph"/>
        <w:numPr>
          <w:ilvl w:val="0"/>
          <w:numId w:val="44"/>
        </w:numPr>
        <w:spacing w:after="0" w:line="240" w:lineRule="auto"/>
        <w:rPr>
          <w:rFonts w:asciiTheme="minorHAnsi" w:hAnsiTheme="minorHAnsi"/>
        </w:rPr>
      </w:pPr>
      <w:r w:rsidRPr="007C5BE6">
        <w:rPr>
          <w:rFonts w:asciiTheme="minorHAnsi" w:hAnsiTheme="minorHAnsi"/>
        </w:rPr>
        <w:t>Evidence must be provided on how the innovation improves the customer experience.</w:t>
      </w:r>
    </w:p>
    <w:p w:rsidR="00380D10" w:rsidRPr="007C5BE6" w:rsidRDefault="00380D10" w:rsidP="00380D10">
      <w:pPr>
        <w:pStyle w:val="ListParagraph"/>
        <w:numPr>
          <w:ilvl w:val="0"/>
          <w:numId w:val="44"/>
        </w:numPr>
        <w:spacing w:after="0" w:line="240" w:lineRule="auto"/>
        <w:rPr>
          <w:rFonts w:asciiTheme="minorHAnsi" w:hAnsiTheme="minorHAnsi"/>
        </w:rPr>
      </w:pPr>
      <w:r w:rsidRPr="007C5BE6">
        <w:rPr>
          <w:rFonts w:asciiTheme="minorHAnsi" w:hAnsiTheme="minorHAnsi"/>
        </w:rPr>
        <w:t xml:space="preserve">The bigger the impact on the customer journey, the better. How does this specific innovation </w:t>
      </w:r>
      <w:r w:rsidR="00753CB4" w:rsidRPr="007C5BE6">
        <w:rPr>
          <w:rFonts w:asciiTheme="minorHAnsi" w:hAnsiTheme="minorHAnsi"/>
        </w:rPr>
        <w:t>change</w:t>
      </w:r>
      <w:r w:rsidRPr="007C5BE6">
        <w:rPr>
          <w:rFonts w:asciiTheme="minorHAnsi" w:hAnsiTheme="minorHAnsi"/>
        </w:rPr>
        <w:t xml:space="preserve"> the sale of finance, or the management of customers</w:t>
      </w:r>
      <w:r w:rsidR="00753CB4" w:rsidRPr="007C5BE6">
        <w:rPr>
          <w:rFonts w:asciiTheme="minorHAnsi" w:hAnsiTheme="minorHAnsi"/>
        </w:rPr>
        <w:t>, for the better</w:t>
      </w:r>
      <w:r w:rsidRPr="007C5BE6">
        <w:rPr>
          <w:rFonts w:asciiTheme="minorHAnsi" w:hAnsiTheme="minorHAnsi"/>
        </w:rPr>
        <w:t>?</w:t>
      </w:r>
    </w:p>
    <w:p w:rsidR="00E53A2A" w:rsidRPr="007C5BE6" w:rsidRDefault="00E53A2A" w:rsidP="00E53A2A">
      <w:pPr>
        <w:rPr>
          <w:rFonts w:asciiTheme="minorHAnsi" w:hAnsiTheme="minorHAnsi"/>
          <w:b/>
          <w:color w:val="943634" w:themeColor="accent2" w:themeShade="BF"/>
        </w:rPr>
      </w:pPr>
    </w:p>
    <w:p w:rsidR="00E53A2A" w:rsidRPr="007C5BE6" w:rsidRDefault="00E53A2A" w:rsidP="00E53A2A">
      <w:pPr>
        <w:rPr>
          <w:rFonts w:asciiTheme="minorHAnsi" w:hAnsiTheme="minorHAnsi"/>
          <w:b/>
          <w:color w:val="943634" w:themeColor="accent2" w:themeShade="BF"/>
        </w:rPr>
      </w:pPr>
      <w:r w:rsidRPr="007C5BE6">
        <w:rPr>
          <w:rFonts w:asciiTheme="minorHAnsi" w:hAnsiTheme="minorHAnsi"/>
          <w:b/>
          <w:color w:val="943634" w:themeColor="accent2" w:themeShade="BF"/>
        </w:rPr>
        <w:t xml:space="preserve">Digital Innovation of the Year </w:t>
      </w:r>
    </w:p>
    <w:p w:rsidR="00E53A2A" w:rsidRPr="007C5BE6" w:rsidRDefault="00753CB4" w:rsidP="00E53A2A">
      <w:pPr>
        <w:rPr>
          <w:rFonts w:asciiTheme="minorHAnsi" w:hAnsiTheme="minorHAnsi"/>
        </w:rPr>
      </w:pPr>
      <w:r w:rsidRPr="007C5BE6">
        <w:rPr>
          <w:rFonts w:asciiTheme="minorHAnsi" w:hAnsiTheme="minorHAnsi"/>
        </w:rPr>
        <w:t xml:space="preserve">We’re looking </w:t>
      </w:r>
      <w:r w:rsidR="008D550B" w:rsidRPr="007C5BE6">
        <w:rPr>
          <w:rFonts w:asciiTheme="minorHAnsi" w:hAnsiTheme="minorHAnsi"/>
        </w:rPr>
        <w:t>to recognise</w:t>
      </w:r>
      <w:r w:rsidRPr="007C5BE6">
        <w:rPr>
          <w:rFonts w:asciiTheme="minorHAnsi" w:hAnsiTheme="minorHAnsi"/>
        </w:rPr>
        <w:t xml:space="preserve"> third party technology or service providers and vendors </w:t>
      </w:r>
      <w:r w:rsidR="008D550B" w:rsidRPr="007C5BE6">
        <w:rPr>
          <w:rFonts w:asciiTheme="minorHAnsi" w:hAnsiTheme="minorHAnsi"/>
        </w:rPr>
        <w:t>who have brought new ideas or technology to the market. The innovation will have helped lenders, dealers or brokers sell finance more efficiently, compliantly or digitally</w:t>
      </w:r>
      <w:r w:rsidR="00E53A2A" w:rsidRPr="007C5BE6">
        <w:rPr>
          <w:rFonts w:asciiTheme="minorHAnsi" w:hAnsiTheme="minorHAnsi"/>
        </w:rPr>
        <w:t>. Specifically, judges will consider:</w:t>
      </w:r>
    </w:p>
    <w:p w:rsidR="00E53A2A" w:rsidRPr="007C5BE6" w:rsidRDefault="00E53A2A" w:rsidP="00E53A2A">
      <w:pPr>
        <w:pStyle w:val="ListParagraph"/>
        <w:numPr>
          <w:ilvl w:val="0"/>
          <w:numId w:val="44"/>
        </w:numPr>
        <w:spacing w:after="0" w:line="240" w:lineRule="auto"/>
        <w:rPr>
          <w:rFonts w:asciiTheme="minorHAnsi" w:hAnsiTheme="minorHAnsi"/>
        </w:rPr>
      </w:pPr>
      <w:r w:rsidRPr="007C5BE6">
        <w:rPr>
          <w:rFonts w:asciiTheme="minorHAnsi" w:hAnsiTheme="minorHAnsi"/>
        </w:rPr>
        <w:t>Entrants must make clear what the specific digital innovation of the past 12 months is.</w:t>
      </w:r>
    </w:p>
    <w:p w:rsidR="00E53A2A" w:rsidRPr="007C5BE6" w:rsidRDefault="00E53A2A" w:rsidP="00E53A2A">
      <w:pPr>
        <w:pStyle w:val="ListParagraph"/>
        <w:numPr>
          <w:ilvl w:val="0"/>
          <w:numId w:val="44"/>
        </w:numPr>
        <w:spacing w:after="0" w:line="240" w:lineRule="auto"/>
        <w:rPr>
          <w:rFonts w:asciiTheme="minorHAnsi" w:hAnsiTheme="minorHAnsi"/>
        </w:rPr>
      </w:pPr>
      <w:r w:rsidRPr="007C5BE6">
        <w:rPr>
          <w:rFonts w:asciiTheme="minorHAnsi" w:hAnsiTheme="minorHAnsi"/>
        </w:rPr>
        <w:t xml:space="preserve">Evidence must be provided on how the innovation </w:t>
      </w:r>
      <w:r w:rsidR="008D550B" w:rsidRPr="007C5BE6">
        <w:rPr>
          <w:rFonts w:asciiTheme="minorHAnsi" w:hAnsiTheme="minorHAnsi"/>
        </w:rPr>
        <w:t xml:space="preserve">has improved either an existing finance proposition or been </w:t>
      </w:r>
      <w:proofErr w:type="gramStart"/>
      <w:r w:rsidR="008D550B" w:rsidRPr="007C5BE6">
        <w:rPr>
          <w:rFonts w:asciiTheme="minorHAnsi" w:hAnsiTheme="minorHAnsi"/>
        </w:rPr>
        <w:t>key</w:t>
      </w:r>
      <w:proofErr w:type="gramEnd"/>
      <w:r w:rsidR="008D550B" w:rsidRPr="007C5BE6">
        <w:rPr>
          <w:rFonts w:asciiTheme="minorHAnsi" w:hAnsiTheme="minorHAnsi"/>
        </w:rPr>
        <w:t xml:space="preserve"> to the development of a new proposition entirely</w:t>
      </w:r>
      <w:r w:rsidRPr="007C5BE6">
        <w:rPr>
          <w:rFonts w:asciiTheme="minorHAnsi" w:hAnsiTheme="minorHAnsi"/>
        </w:rPr>
        <w:t>.</w:t>
      </w:r>
      <w:r w:rsidR="008D550B" w:rsidRPr="007C5BE6">
        <w:rPr>
          <w:rFonts w:asciiTheme="minorHAnsi" w:hAnsiTheme="minorHAnsi"/>
        </w:rPr>
        <w:t xml:space="preserve"> </w:t>
      </w:r>
    </w:p>
    <w:p w:rsidR="00E53A2A" w:rsidRPr="007C5BE6" w:rsidRDefault="008D550B" w:rsidP="00E53A2A">
      <w:pPr>
        <w:pStyle w:val="ListParagraph"/>
        <w:numPr>
          <w:ilvl w:val="0"/>
          <w:numId w:val="44"/>
        </w:numPr>
        <w:spacing w:after="0" w:line="240" w:lineRule="auto"/>
        <w:rPr>
          <w:rFonts w:asciiTheme="minorHAnsi" w:hAnsiTheme="minorHAnsi"/>
        </w:rPr>
      </w:pPr>
      <w:r w:rsidRPr="007C5BE6">
        <w:rPr>
          <w:rFonts w:asciiTheme="minorHAnsi" w:hAnsiTheme="minorHAnsi"/>
        </w:rPr>
        <w:t xml:space="preserve">How is this innovation different from what has come before? </w:t>
      </w:r>
    </w:p>
    <w:p w:rsidR="00E53A2A" w:rsidRPr="007C5BE6" w:rsidRDefault="00E53A2A" w:rsidP="00E53A2A">
      <w:pPr>
        <w:spacing w:after="0" w:line="240" w:lineRule="auto"/>
        <w:rPr>
          <w:rFonts w:asciiTheme="minorHAnsi" w:hAnsiTheme="minorHAnsi"/>
        </w:rPr>
      </w:pPr>
    </w:p>
    <w:p w:rsidR="00380D10" w:rsidRDefault="00380D10" w:rsidP="00380D10">
      <w:pPr>
        <w:rPr>
          <w:rFonts w:asciiTheme="minorHAnsi" w:hAnsiTheme="minorHAnsi"/>
          <w:color w:val="943634" w:themeColor="accent2" w:themeShade="BF"/>
        </w:rPr>
      </w:pPr>
    </w:p>
    <w:p w:rsidR="00E55C2A" w:rsidRPr="00380D10" w:rsidRDefault="00E55C2A" w:rsidP="00380D10">
      <w:pPr>
        <w:rPr>
          <w:rFonts w:asciiTheme="minorHAnsi" w:hAnsiTheme="minorHAnsi"/>
          <w:color w:val="943634" w:themeColor="accent2" w:themeShade="BF"/>
        </w:rPr>
      </w:pPr>
    </w:p>
    <w:p w:rsidR="00380D10" w:rsidRPr="00380D10" w:rsidRDefault="00494D40" w:rsidP="00380D10">
      <w:pPr>
        <w:jc w:val="both"/>
        <w:rPr>
          <w:rFonts w:asciiTheme="minorHAnsi" w:hAnsiTheme="minorHAnsi"/>
          <w:b/>
          <w:bCs/>
          <w:color w:val="943634" w:themeColor="accent2" w:themeShade="BF"/>
        </w:rPr>
      </w:pPr>
      <w:bookmarkStart w:id="0" w:name="_GoBack"/>
      <w:bookmarkEnd w:id="0"/>
      <w:r>
        <w:rPr>
          <w:rFonts w:asciiTheme="minorHAnsi" w:hAnsiTheme="minorHAnsi"/>
          <w:b/>
          <w:bCs/>
          <w:color w:val="943634" w:themeColor="accent2" w:themeShade="BF"/>
        </w:rPr>
        <w:lastRenderedPageBreak/>
        <w:t>Best Finance Product</w:t>
      </w:r>
    </w:p>
    <w:p w:rsidR="00380D10" w:rsidRPr="00380D10" w:rsidRDefault="00380D10" w:rsidP="00380D10">
      <w:pPr>
        <w:jc w:val="both"/>
        <w:rPr>
          <w:rFonts w:asciiTheme="minorHAnsi" w:hAnsiTheme="minorHAnsi"/>
          <w:color w:val="000000"/>
        </w:rPr>
      </w:pPr>
      <w:r w:rsidRPr="00380D10">
        <w:rPr>
          <w:rFonts w:asciiTheme="minorHAnsi" w:hAnsiTheme="minorHAnsi"/>
          <w:color w:val="000000"/>
        </w:rPr>
        <w:t xml:space="preserve">This award is for the finance product </w:t>
      </w:r>
      <w:r w:rsidR="00AB26C6">
        <w:rPr>
          <w:rFonts w:asciiTheme="minorHAnsi" w:hAnsiTheme="minorHAnsi"/>
          <w:color w:val="000000"/>
        </w:rPr>
        <w:t xml:space="preserve">from a lender or broker </w:t>
      </w:r>
      <w:r w:rsidRPr="00380D10">
        <w:rPr>
          <w:rFonts w:asciiTheme="minorHAnsi" w:hAnsiTheme="minorHAnsi"/>
          <w:color w:val="000000"/>
        </w:rPr>
        <w:t>which strikes the best balance between offering customers a good deal and ensuring a sustainable business for the company in question. The product in question should benefit the customer as well as the company. Specifically, judges will be looking at:</w:t>
      </w:r>
    </w:p>
    <w:p w:rsidR="00380D10" w:rsidRPr="00380D10" w:rsidRDefault="00380D10" w:rsidP="00380D10">
      <w:pPr>
        <w:numPr>
          <w:ilvl w:val="0"/>
          <w:numId w:val="40"/>
        </w:numPr>
        <w:spacing w:after="0" w:line="240" w:lineRule="auto"/>
        <w:jc w:val="both"/>
        <w:rPr>
          <w:rFonts w:asciiTheme="minorHAnsi" w:eastAsia="Times New Roman" w:hAnsiTheme="minorHAnsi"/>
          <w:color w:val="000000"/>
        </w:rPr>
      </w:pPr>
      <w:r w:rsidRPr="00380D10">
        <w:rPr>
          <w:rFonts w:asciiTheme="minorHAnsi" w:eastAsia="Times New Roman" w:hAnsiTheme="minorHAnsi"/>
          <w:color w:val="000000"/>
        </w:rPr>
        <w:t>The specifics of how the product works, and what makes this different from what else is out there?</w:t>
      </w:r>
    </w:p>
    <w:p w:rsidR="00380D10" w:rsidRPr="00380D10" w:rsidRDefault="00380D10" w:rsidP="00380D10">
      <w:pPr>
        <w:numPr>
          <w:ilvl w:val="0"/>
          <w:numId w:val="40"/>
        </w:numPr>
        <w:spacing w:after="0" w:line="240" w:lineRule="auto"/>
        <w:jc w:val="both"/>
        <w:rPr>
          <w:rFonts w:asciiTheme="minorHAnsi" w:eastAsia="Times New Roman" w:hAnsiTheme="minorHAnsi"/>
          <w:color w:val="000000"/>
        </w:rPr>
      </w:pPr>
      <w:r w:rsidRPr="00380D10">
        <w:rPr>
          <w:rFonts w:asciiTheme="minorHAnsi" w:eastAsia="Times New Roman" w:hAnsiTheme="minorHAnsi"/>
          <w:color w:val="000000"/>
        </w:rPr>
        <w:t xml:space="preserve">Why a customer would choose this product over an alternative, and how they benefit from it. </w:t>
      </w:r>
    </w:p>
    <w:p w:rsidR="00BC3EC5" w:rsidRDefault="00380D10" w:rsidP="00380D10">
      <w:pPr>
        <w:numPr>
          <w:ilvl w:val="0"/>
          <w:numId w:val="40"/>
        </w:numPr>
        <w:spacing w:before="100" w:beforeAutospacing="1" w:after="100" w:afterAutospacing="1" w:line="240" w:lineRule="auto"/>
        <w:jc w:val="both"/>
        <w:rPr>
          <w:rFonts w:asciiTheme="minorHAnsi" w:eastAsia="Times New Roman" w:hAnsiTheme="minorHAnsi"/>
          <w:color w:val="000000"/>
        </w:rPr>
      </w:pPr>
      <w:r w:rsidRPr="00380D10">
        <w:rPr>
          <w:rFonts w:asciiTheme="minorHAnsi" w:eastAsia="Times New Roman" w:hAnsiTheme="minorHAnsi"/>
          <w:color w:val="000000"/>
        </w:rPr>
        <w:t>Evidence of customer satisfaction being balanced with a need for sustainable business practises</w:t>
      </w:r>
    </w:p>
    <w:p w:rsidR="00380D10" w:rsidRPr="00BC3EC5" w:rsidRDefault="00BC3EC5" w:rsidP="00BC3EC5">
      <w:pPr>
        <w:spacing w:before="100" w:beforeAutospacing="1" w:after="100" w:afterAutospacing="1" w:line="240" w:lineRule="auto"/>
        <w:jc w:val="both"/>
        <w:rPr>
          <w:rFonts w:asciiTheme="minorHAnsi" w:eastAsia="Times New Roman" w:hAnsiTheme="minorHAnsi"/>
          <w:color w:val="000000"/>
        </w:rPr>
      </w:pPr>
      <w:r>
        <w:rPr>
          <w:rFonts w:asciiTheme="minorHAnsi" w:hAnsiTheme="minorHAnsi"/>
          <w:b/>
          <w:bCs/>
          <w:color w:val="943634" w:themeColor="accent2" w:themeShade="BF"/>
        </w:rPr>
        <w:t>Risi</w:t>
      </w:r>
      <w:r w:rsidRPr="00BC3EC5">
        <w:rPr>
          <w:rFonts w:asciiTheme="minorHAnsi" w:hAnsiTheme="minorHAnsi"/>
          <w:b/>
          <w:bCs/>
          <w:color w:val="943634" w:themeColor="accent2" w:themeShade="BF"/>
        </w:rPr>
        <w:t>ng</w:t>
      </w:r>
      <w:r w:rsidR="00380D10" w:rsidRPr="00BC3EC5">
        <w:rPr>
          <w:rFonts w:asciiTheme="minorHAnsi" w:hAnsiTheme="minorHAnsi"/>
          <w:b/>
          <w:bCs/>
          <w:color w:val="943634" w:themeColor="accent2" w:themeShade="BF"/>
        </w:rPr>
        <w:t xml:space="preserve"> Star </w:t>
      </w:r>
      <w:r w:rsidR="00494D40" w:rsidRPr="00BC3EC5">
        <w:rPr>
          <w:rFonts w:asciiTheme="minorHAnsi" w:hAnsiTheme="minorHAnsi"/>
          <w:b/>
          <w:bCs/>
          <w:color w:val="943634" w:themeColor="accent2" w:themeShade="BF"/>
        </w:rPr>
        <w:t>A</w:t>
      </w:r>
      <w:r w:rsidR="00380D10" w:rsidRPr="00BC3EC5">
        <w:rPr>
          <w:rFonts w:asciiTheme="minorHAnsi" w:hAnsiTheme="minorHAnsi"/>
          <w:b/>
          <w:bCs/>
          <w:color w:val="943634" w:themeColor="accent2" w:themeShade="BF"/>
        </w:rPr>
        <w:t>ward:</w:t>
      </w:r>
    </w:p>
    <w:p w:rsidR="00380D10" w:rsidRPr="00380D10" w:rsidRDefault="00380D10" w:rsidP="00380D10">
      <w:pPr>
        <w:jc w:val="both"/>
        <w:rPr>
          <w:rFonts w:asciiTheme="minorHAnsi" w:hAnsiTheme="minorHAnsi"/>
          <w:color w:val="000000"/>
        </w:rPr>
      </w:pPr>
      <w:r w:rsidRPr="00380D10">
        <w:rPr>
          <w:rFonts w:asciiTheme="minorHAnsi" w:hAnsiTheme="minorHAnsi"/>
          <w:color w:val="000000"/>
        </w:rPr>
        <w:t>Motor finance is famously an industry of experienced heads who know their industry like the back of their hands.  This can make standing out a difficult task for newer members of the industry, and this award looks to help highlight the work of someone under the age of 35.  The winner does not need to have yet risen to a senior job, but will need to be someone who can evidence the positive impact they have had on the motor finance industry.</w:t>
      </w:r>
    </w:p>
    <w:p w:rsidR="00380D10" w:rsidRDefault="00380D10" w:rsidP="00380D10">
      <w:pPr>
        <w:shd w:val="clear" w:color="auto" w:fill="FFFFFF"/>
        <w:rPr>
          <w:rFonts w:asciiTheme="minorHAnsi" w:eastAsia="Times New Roman" w:hAnsiTheme="minorHAnsi"/>
          <w:b/>
        </w:rPr>
      </w:pPr>
      <w:r w:rsidRPr="00380D10">
        <w:rPr>
          <w:rFonts w:asciiTheme="minorHAnsi" w:eastAsia="Times New Roman" w:hAnsiTheme="minorHAnsi"/>
          <w:b/>
        </w:rPr>
        <w:t>The following awards are presented to individuals and as such these will be awarded by the judging panel without prior nomination.</w:t>
      </w:r>
    </w:p>
    <w:p w:rsidR="00685CE1" w:rsidRPr="00380D10" w:rsidRDefault="00685CE1" w:rsidP="00685CE1">
      <w:pPr>
        <w:jc w:val="both"/>
        <w:rPr>
          <w:rFonts w:asciiTheme="minorHAnsi" w:hAnsiTheme="minorHAnsi"/>
          <w:b/>
          <w:bCs/>
          <w:color w:val="943634" w:themeColor="accent2" w:themeShade="BF"/>
        </w:rPr>
      </w:pPr>
      <w:r w:rsidRPr="00380D10">
        <w:rPr>
          <w:rFonts w:asciiTheme="minorHAnsi" w:hAnsiTheme="minorHAnsi"/>
          <w:b/>
          <w:bCs/>
          <w:color w:val="943634" w:themeColor="accent2" w:themeShade="BF"/>
        </w:rPr>
        <w:t xml:space="preserve">Industry </w:t>
      </w:r>
      <w:r w:rsidR="00494D40">
        <w:rPr>
          <w:rFonts w:asciiTheme="minorHAnsi" w:hAnsiTheme="minorHAnsi"/>
          <w:b/>
          <w:bCs/>
          <w:color w:val="943634" w:themeColor="accent2" w:themeShade="BF"/>
        </w:rPr>
        <w:t>Ambassador of the Y</w:t>
      </w:r>
      <w:r w:rsidRPr="00380D10">
        <w:rPr>
          <w:rFonts w:asciiTheme="minorHAnsi" w:hAnsiTheme="minorHAnsi"/>
          <w:b/>
          <w:bCs/>
          <w:color w:val="943634" w:themeColor="accent2" w:themeShade="BF"/>
        </w:rPr>
        <w:t>ear:</w:t>
      </w:r>
    </w:p>
    <w:p w:rsidR="00685CE1" w:rsidRDefault="00685CE1" w:rsidP="00685CE1">
      <w:pPr>
        <w:jc w:val="both"/>
        <w:rPr>
          <w:rFonts w:asciiTheme="minorHAnsi" w:hAnsiTheme="minorHAnsi"/>
          <w:color w:val="000000"/>
        </w:rPr>
      </w:pPr>
      <w:r w:rsidRPr="00380D10">
        <w:rPr>
          <w:rFonts w:asciiTheme="minorHAnsi" w:hAnsiTheme="minorHAnsi"/>
          <w:color w:val="000000"/>
        </w:rPr>
        <w:t xml:space="preserve">This award will go to an individual who has helped to develop and enhance the reputation or the economic role of the motor finance industry over the past 12 months. </w:t>
      </w:r>
    </w:p>
    <w:p w:rsidR="00380D10" w:rsidRDefault="00380D10" w:rsidP="00380D10">
      <w:pPr>
        <w:rPr>
          <w:rFonts w:asciiTheme="minorHAnsi" w:hAnsiTheme="minorHAnsi"/>
          <w:b/>
          <w:color w:val="943634" w:themeColor="accent2" w:themeShade="BF"/>
        </w:rPr>
      </w:pPr>
      <w:r w:rsidRPr="00380D10">
        <w:rPr>
          <w:rFonts w:asciiTheme="minorHAnsi" w:hAnsiTheme="minorHAnsi"/>
          <w:b/>
          <w:color w:val="943634" w:themeColor="accent2" w:themeShade="BF"/>
        </w:rPr>
        <w:t xml:space="preserve">Lifetime Achievement Award </w:t>
      </w:r>
    </w:p>
    <w:p w:rsidR="00380D10" w:rsidRPr="00380D10" w:rsidRDefault="00380D10" w:rsidP="00380D10">
      <w:pPr>
        <w:rPr>
          <w:rFonts w:asciiTheme="minorHAnsi" w:hAnsiTheme="minorHAnsi"/>
        </w:rPr>
      </w:pPr>
      <w:r w:rsidRPr="00380D10">
        <w:rPr>
          <w:rFonts w:asciiTheme="minorHAnsi" w:hAnsiTheme="minorHAnsi"/>
        </w:rPr>
        <w:t xml:space="preserve">This award will go to an individual who has helped to build and shape the motor finance industry over the course of their course of their career. </w:t>
      </w:r>
      <w:r w:rsidRPr="00380D10">
        <w:rPr>
          <w:rFonts w:asciiTheme="minorHAnsi" w:hAnsiTheme="minorHAnsi"/>
          <w:color w:val="000000"/>
        </w:rPr>
        <w:t>They will have taken strategic leadership roles within a company or companies, and steered them to greater success, mentored colleagues through challenges and be a top influencer in the industry. The Lifetime Achievement is, above all else, a recognition of a career which has shown experience, talent and commitment to motor finance.</w:t>
      </w:r>
    </w:p>
    <w:p w:rsidR="00380D10" w:rsidRPr="00380D10" w:rsidRDefault="00380D10" w:rsidP="00380D10">
      <w:pPr>
        <w:jc w:val="both"/>
        <w:rPr>
          <w:rFonts w:asciiTheme="minorHAnsi" w:hAnsiTheme="minorHAnsi"/>
          <w:b/>
          <w:color w:val="943634" w:themeColor="accent2" w:themeShade="BF"/>
        </w:rPr>
      </w:pPr>
      <w:r w:rsidRPr="00380D10">
        <w:rPr>
          <w:rFonts w:asciiTheme="minorHAnsi" w:hAnsiTheme="minorHAnsi"/>
          <w:b/>
          <w:color w:val="943634" w:themeColor="accent2" w:themeShade="BF"/>
        </w:rPr>
        <w:t>Editor’s Choice Award</w:t>
      </w:r>
    </w:p>
    <w:p w:rsidR="00380D10" w:rsidRPr="00380D10" w:rsidRDefault="00380D10" w:rsidP="00380D10">
      <w:pPr>
        <w:jc w:val="both"/>
        <w:rPr>
          <w:rFonts w:asciiTheme="minorHAnsi" w:hAnsiTheme="minorHAnsi"/>
          <w:color w:val="000000"/>
        </w:rPr>
      </w:pPr>
      <w:r w:rsidRPr="00380D10">
        <w:rPr>
          <w:rFonts w:asciiTheme="minorHAnsi" w:hAnsiTheme="minorHAnsi"/>
          <w:color w:val="000000"/>
        </w:rPr>
        <w:t xml:space="preserve">This award will be given to an individual or company at the Editors discretion. The winner will be someone or thing the editor feels deserves recognition for past or recent achievements and contributions to the industry, regardless of whether they work/are a lender, broker, consultant, provider or beyond. </w:t>
      </w:r>
    </w:p>
    <w:p w:rsidR="00380D10" w:rsidRPr="00380D10" w:rsidRDefault="00380D10" w:rsidP="00380D10">
      <w:pPr>
        <w:rPr>
          <w:rFonts w:asciiTheme="minorHAnsi" w:hAnsiTheme="minorHAnsi"/>
          <w:color w:val="1F497D"/>
        </w:rPr>
      </w:pPr>
    </w:p>
    <w:p w:rsidR="00380D10" w:rsidRPr="00380D10" w:rsidRDefault="00380D10" w:rsidP="00380D10">
      <w:pPr>
        <w:rPr>
          <w:rFonts w:asciiTheme="minorHAnsi" w:hAnsiTheme="minorHAnsi"/>
        </w:rPr>
      </w:pPr>
    </w:p>
    <w:p w:rsidR="00380D10" w:rsidRDefault="00380D10" w:rsidP="00344928">
      <w:pPr>
        <w:pStyle w:val="Header"/>
        <w:tabs>
          <w:tab w:val="clear" w:pos="9026"/>
          <w:tab w:val="right" w:pos="9214"/>
        </w:tabs>
        <w:spacing w:after="120"/>
        <w:jc w:val="both"/>
        <w:rPr>
          <w:lang w:val="en-US"/>
        </w:rPr>
      </w:pPr>
    </w:p>
    <w:p w:rsidR="00380D10" w:rsidRDefault="00380D10" w:rsidP="00344928">
      <w:pPr>
        <w:pStyle w:val="Header"/>
        <w:tabs>
          <w:tab w:val="clear" w:pos="9026"/>
          <w:tab w:val="right" w:pos="9214"/>
        </w:tabs>
        <w:spacing w:after="120"/>
        <w:jc w:val="both"/>
        <w:rPr>
          <w:lang w:val="en-US"/>
        </w:rPr>
      </w:pPr>
    </w:p>
    <w:p w:rsidR="00380D10" w:rsidRPr="00C00098" w:rsidRDefault="00380D10" w:rsidP="00344928">
      <w:pPr>
        <w:pStyle w:val="Header"/>
        <w:tabs>
          <w:tab w:val="clear" w:pos="9026"/>
          <w:tab w:val="right" w:pos="9214"/>
        </w:tabs>
        <w:spacing w:after="120"/>
        <w:jc w:val="both"/>
        <w:rPr>
          <w:lang w:val="en-US"/>
        </w:rPr>
      </w:pPr>
    </w:p>
    <w:sectPr w:rsidR="00380D10" w:rsidRPr="00C00098" w:rsidSect="0073497E">
      <w:headerReference w:type="default" r:id="rId11"/>
      <w:pgSz w:w="11906" w:h="16838"/>
      <w:pgMar w:top="984" w:right="1286" w:bottom="1418" w:left="1440" w:header="284"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72" w:rsidRDefault="00881672" w:rsidP="001354AB">
      <w:pPr>
        <w:spacing w:after="0" w:line="240" w:lineRule="auto"/>
      </w:pPr>
      <w:r>
        <w:separator/>
      </w:r>
    </w:p>
  </w:endnote>
  <w:endnote w:type="continuationSeparator" w:id="0">
    <w:p w:rsidR="00881672" w:rsidRDefault="00881672" w:rsidP="0013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72" w:rsidRDefault="00881672" w:rsidP="001354AB">
      <w:pPr>
        <w:spacing w:after="0" w:line="240" w:lineRule="auto"/>
      </w:pPr>
      <w:r>
        <w:separator/>
      </w:r>
    </w:p>
  </w:footnote>
  <w:footnote w:type="continuationSeparator" w:id="0">
    <w:p w:rsidR="00881672" w:rsidRDefault="00881672" w:rsidP="0013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AC" w:rsidRDefault="00B114AC" w:rsidP="00C86BC4">
    <w:pPr>
      <w:pStyle w:val="Header"/>
      <w:ind w:left="-709"/>
      <w:rPr>
        <w:b/>
        <w:sz w:val="24"/>
        <w:szCs w:val="24"/>
      </w:rPr>
    </w:pPr>
    <w:r>
      <w:rPr>
        <w:b/>
        <w:noProof/>
        <w:sz w:val="24"/>
        <w:szCs w:val="24"/>
        <w:lang w:eastAsia="en-GB"/>
      </w:rPr>
      <w:drawing>
        <wp:anchor distT="0" distB="0" distL="114300" distR="114300" simplePos="0" relativeHeight="251658240" behindDoc="1" locked="0" layoutInCell="1" allowOverlap="1">
          <wp:simplePos x="0" y="0"/>
          <wp:positionH relativeFrom="column">
            <wp:posOffset>4591050</wp:posOffset>
          </wp:positionH>
          <wp:positionV relativeFrom="paragraph">
            <wp:posOffset>229235</wp:posOffset>
          </wp:positionV>
          <wp:extent cx="1514475" cy="361950"/>
          <wp:effectExtent l="19050" t="0" r="9525" b="0"/>
          <wp:wrapTight wrapText="bothSides">
            <wp:wrapPolygon edited="0">
              <wp:start x="-272" y="0"/>
              <wp:lineTo x="-272" y="20463"/>
              <wp:lineTo x="21736" y="20463"/>
              <wp:lineTo x="21736" y="0"/>
              <wp:lineTo x="-272" y="0"/>
            </wp:wrapPolygon>
          </wp:wrapTight>
          <wp:docPr id="1" name="Picture 0" descr="MF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 jpeg.jpg"/>
                  <pic:cNvPicPr/>
                </pic:nvPicPr>
                <pic:blipFill>
                  <a:blip r:embed="rId1"/>
                  <a:stretch>
                    <a:fillRect/>
                  </a:stretch>
                </pic:blipFill>
                <pic:spPr>
                  <a:xfrm>
                    <a:off x="0" y="0"/>
                    <a:ext cx="1514475" cy="361950"/>
                  </a:xfrm>
                  <a:prstGeom prst="rect">
                    <a:avLst/>
                  </a:prstGeom>
                </pic:spPr>
              </pic:pic>
            </a:graphicData>
          </a:graphic>
        </wp:anchor>
      </w:drawing>
    </w:r>
  </w:p>
  <w:p w:rsidR="00B114AC" w:rsidRPr="00C86BC4" w:rsidRDefault="00B114AC" w:rsidP="00C86BC4">
    <w:pPr>
      <w:pStyle w:val="Header"/>
      <w:ind w:left="-709"/>
      <w:rPr>
        <w:b/>
        <w:sz w:val="24"/>
        <w:szCs w:val="24"/>
      </w:rPr>
    </w:pPr>
    <w:r>
      <w:rPr>
        <w:b/>
        <w:sz w:val="24"/>
        <w:szCs w:val="24"/>
      </w:rPr>
      <w:t>Motor Finance Europe Awards</w:t>
    </w:r>
    <w:r w:rsidRPr="00C86BC4">
      <w:rPr>
        <w:b/>
        <w:sz w:val="24"/>
        <w:szCs w:val="24"/>
      </w:rPr>
      <w:t xml:space="preserve"> 201</w:t>
    </w:r>
    <w:r>
      <w:rPr>
        <w:b/>
        <w:sz w:val="24"/>
        <w:szCs w:val="24"/>
      </w:rPr>
      <w:t>8</w:t>
    </w:r>
    <w:r w:rsidRPr="00C86BC4">
      <w:rPr>
        <w:b/>
        <w:sz w:val="24"/>
        <w:szCs w:val="24"/>
      </w:rPr>
      <w:t xml:space="preserve"> </w:t>
    </w:r>
    <w:r>
      <w:rPr>
        <w:b/>
        <w:sz w:val="24"/>
        <w:szCs w:val="24"/>
      </w:rPr>
      <w:t>Information Pack</w:t>
    </w:r>
    <w:r>
      <w:rPr>
        <w:b/>
        <w:sz w:val="24"/>
        <w:szCs w:val="24"/>
      </w:rPr>
      <w:tab/>
    </w:r>
    <w:r>
      <w:rPr>
        <w:b/>
        <w:sz w:val="24"/>
        <w:szCs w:val="24"/>
      </w:rPr>
      <w:tab/>
      <w:t xml:space="preserve">                 </w:t>
    </w:r>
    <w:r w:rsidRPr="005A0433">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0058"/>
    <w:multiLevelType w:val="multilevel"/>
    <w:tmpl w:val="B9C8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C6966"/>
    <w:multiLevelType w:val="multilevel"/>
    <w:tmpl w:val="654E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872FE"/>
    <w:multiLevelType w:val="multilevel"/>
    <w:tmpl w:val="9810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6334A"/>
    <w:multiLevelType w:val="multilevel"/>
    <w:tmpl w:val="A23A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E07D64"/>
    <w:multiLevelType w:val="hybridMultilevel"/>
    <w:tmpl w:val="52C02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B17869"/>
    <w:multiLevelType w:val="multilevel"/>
    <w:tmpl w:val="6E76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F95F3D"/>
    <w:multiLevelType w:val="multilevel"/>
    <w:tmpl w:val="DECC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87719"/>
    <w:multiLevelType w:val="multilevel"/>
    <w:tmpl w:val="86F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9B7081"/>
    <w:multiLevelType w:val="hybridMultilevel"/>
    <w:tmpl w:val="E6281420"/>
    <w:lvl w:ilvl="0" w:tplc="4D181B76">
      <w:start w:val="1"/>
      <w:numFmt w:val="upperLetter"/>
      <w:lvlText w:val="%1."/>
      <w:lvlJc w:val="left"/>
      <w:pPr>
        <w:ind w:left="927" w:hanging="360"/>
      </w:pPr>
      <w:rPr>
        <w:rFonts w:ascii="Calibri" w:eastAsia="Times New Roman" w:hAnsi="Calibri" w:cs="Times New Roman"/>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9">
    <w:nsid w:val="1F926397"/>
    <w:multiLevelType w:val="hybridMultilevel"/>
    <w:tmpl w:val="D3AAA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FFA7EDA"/>
    <w:multiLevelType w:val="multilevel"/>
    <w:tmpl w:val="A9D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6A17BD"/>
    <w:multiLevelType w:val="multilevel"/>
    <w:tmpl w:val="E7BC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9C3860"/>
    <w:multiLevelType w:val="multilevel"/>
    <w:tmpl w:val="D08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9B0610"/>
    <w:multiLevelType w:val="hybridMultilevel"/>
    <w:tmpl w:val="AC584F94"/>
    <w:lvl w:ilvl="0" w:tplc="C218A990">
      <w:start w:val="1"/>
      <w:numFmt w:val="upperLetter"/>
      <w:lvlText w:val="%1."/>
      <w:lvlJc w:val="left"/>
      <w:pPr>
        <w:ind w:left="11" w:hanging="360"/>
      </w:pPr>
      <w:rPr>
        <w:rFonts w:cs="Times New Roman" w:hint="default"/>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14">
    <w:nsid w:val="28E058AD"/>
    <w:multiLevelType w:val="hybridMultilevel"/>
    <w:tmpl w:val="57DAD4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2ED26849"/>
    <w:multiLevelType w:val="multilevel"/>
    <w:tmpl w:val="2B9A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F52525"/>
    <w:multiLevelType w:val="multilevel"/>
    <w:tmpl w:val="91D40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F440F5C"/>
    <w:multiLevelType w:val="multilevel"/>
    <w:tmpl w:val="0192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E57847"/>
    <w:multiLevelType w:val="multilevel"/>
    <w:tmpl w:val="1C14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1457247"/>
    <w:multiLevelType w:val="hybridMultilevel"/>
    <w:tmpl w:val="C6902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245348F"/>
    <w:multiLevelType w:val="hybridMultilevel"/>
    <w:tmpl w:val="4E44E9DE"/>
    <w:lvl w:ilvl="0" w:tplc="9CAAC63E">
      <w:start w:val="1"/>
      <w:numFmt w:val="decimal"/>
      <w:lvlText w:val="%1."/>
      <w:lvlJc w:val="left"/>
      <w:pPr>
        <w:ind w:left="-349" w:hanging="360"/>
      </w:pPr>
      <w:rPr>
        <w:rFonts w:ascii="Calibri" w:eastAsia="Times New Roman" w:hAnsi="Calibri" w:cs="Times New Roman"/>
      </w:rPr>
    </w:lvl>
    <w:lvl w:ilvl="1" w:tplc="08090019" w:tentative="1">
      <w:start w:val="1"/>
      <w:numFmt w:val="lowerLetter"/>
      <w:lvlText w:val="%2."/>
      <w:lvlJc w:val="left"/>
      <w:pPr>
        <w:ind w:left="371" w:hanging="360"/>
      </w:pPr>
      <w:rPr>
        <w:rFonts w:cs="Times New Roman"/>
      </w:rPr>
    </w:lvl>
    <w:lvl w:ilvl="2" w:tplc="0809001B" w:tentative="1">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21">
    <w:nsid w:val="33E9239E"/>
    <w:multiLevelType w:val="hybridMultilevel"/>
    <w:tmpl w:val="53D8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3649BE"/>
    <w:multiLevelType w:val="hybridMultilevel"/>
    <w:tmpl w:val="A894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1741D6"/>
    <w:multiLevelType w:val="multilevel"/>
    <w:tmpl w:val="FDA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E7011C2"/>
    <w:multiLevelType w:val="hybridMultilevel"/>
    <w:tmpl w:val="B50C399A"/>
    <w:lvl w:ilvl="0" w:tplc="2EE20360">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5">
    <w:nsid w:val="449F5401"/>
    <w:multiLevelType w:val="hybridMultilevel"/>
    <w:tmpl w:val="C218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D50BE"/>
    <w:multiLevelType w:val="hybridMultilevel"/>
    <w:tmpl w:val="869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1B0F15"/>
    <w:multiLevelType w:val="hybridMultilevel"/>
    <w:tmpl w:val="7B88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276E75"/>
    <w:multiLevelType w:val="hybridMultilevel"/>
    <w:tmpl w:val="B38C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3D3122"/>
    <w:multiLevelType w:val="multilevel"/>
    <w:tmpl w:val="5D8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C5C38BC"/>
    <w:multiLevelType w:val="multilevel"/>
    <w:tmpl w:val="91D40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B8C42D1"/>
    <w:multiLevelType w:val="multilevel"/>
    <w:tmpl w:val="35C6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E693AEC"/>
    <w:multiLevelType w:val="multilevel"/>
    <w:tmpl w:val="7F06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F95EA6"/>
    <w:multiLevelType w:val="hybridMultilevel"/>
    <w:tmpl w:val="C366B9B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nsid w:val="650D7E27"/>
    <w:multiLevelType w:val="hybridMultilevel"/>
    <w:tmpl w:val="CD00F6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5762D0E"/>
    <w:multiLevelType w:val="hybridMultilevel"/>
    <w:tmpl w:val="363C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103F62"/>
    <w:multiLevelType w:val="hybridMultilevel"/>
    <w:tmpl w:val="B8D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905BE"/>
    <w:multiLevelType w:val="hybridMultilevel"/>
    <w:tmpl w:val="13E2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D06F06"/>
    <w:multiLevelType w:val="multilevel"/>
    <w:tmpl w:val="01A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FEE5008"/>
    <w:multiLevelType w:val="multilevel"/>
    <w:tmpl w:val="385E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075848"/>
    <w:multiLevelType w:val="hybridMultilevel"/>
    <w:tmpl w:val="23A87128"/>
    <w:lvl w:ilvl="0" w:tplc="9CAAC63E">
      <w:start w:val="1"/>
      <w:numFmt w:val="decimal"/>
      <w:lvlText w:val="%1."/>
      <w:lvlJc w:val="left"/>
      <w:pPr>
        <w:ind w:left="-1190" w:hanging="360"/>
      </w:pPr>
      <w:rPr>
        <w:rFonts w:ascii="Calibri" w:eastAsia="Times New Roman" w:hAnsi="Calibri" w:cs="Times New Roman"/>
      </w:rPr>
    </w:lvl>
    <w:lvl w:ilvl="1" w:tplc="08090019" w:tentative="1">
      <w:start w:val="1"/>
      <w:numFmt w:val="lowerLetter"/>
      <w:lvlText w:val="%2."/>
      <w:lvlJc w:val="left"/>
      <w:pPr>
        <w:ind w:left="599" w:hanging="360"/>
      </w:pPr>
      <w:rPr>
        <w:rFonts w:cs="Times New Roman"/>
      </w:rPr>
    </w:lvl>
    <w:lvl w:ilvl="2" w:tplc="0809001B" w:tentative="1">
      <w:start w:val="1"/>
      <w:numFmt w:val="lowerRoman"/>
      <w:lvlText w:val="%3."/>
      <w:lvlJc w:val="right"/>
      <w:pPr>
        <w:ind w:left="1319" w:hanging="180"/>
      </w:pPr>
      <w:rPr>
        <w:rFonts w:cs="Times New Roman"/>
      </w:rPr>
    </w:lvl>
    <w:lvl w:ilvl="3" w:tplc="0809000F" w:tentative="1">
      <w:start w:val="1"/>
      <w:numFmt w:val="decimal"/>
      <w:lvlText w:val="%4."/>
      <w:lvlJc w:val="left"/>
      <w:pPr>
        <w:ind w:left="2039" w:hanging="360"/>
      </w:pPr>
      <w:rPr>
        <w:rFonts w:cs="Times New Roman"/>
      </w:rPr>
    </w:lvl>
    <w:lvl w:ilvl="4" w:tplc="08090019" w:tentative="1">
      <w:start w:val="1"/>
      <w:numFmt w:val="lowerLetter"/>
      <w:lvlText w:val="%5."/>
      <w:lvlJc w:val="left"/>
      <w:pPr>
        <w:ind w:left="2759" w:hanging="360"/>
      </w:pPr>
      <w:rPr>
        <w:rFonts w:cs="Times New Roman"/>
      </w:rPr>
    </w:lvl>
    <w:lvl w:ilvl="5" w:tplc="0809001B" w:tentative="1">
      <w:start w:val="1"/>
      <w:numFmt w:val="lowerRoman"/>
      <w:lvlText w:val="%6."/>
      <w:lvlJc w:val="right"/>
      <w:pPr>
        <w:ind w:left="3479" w:hanging="180"/>
      </w:pPr>
      <w:rPr>
        <w:rFonts w:cs="Times New Roman"/>
      </w:rPr>
    </w:lvl>
    <w:lvl w:ilvl="6" w:tplc="0809000F" w:tentative="1">
      <w:start w:val="1"/>
      <w:numFmt w:val="decimal"/>
      <w:lvlText w:val="%7."/>
      <w:lvlJc w:val="left"/>
      <w:pPr>
        <w:ind w:left="4199" w:hanging="360"/>
      </w:pPr>
      <w:rPr>
        <w:rFonts w:cs="Times New Roman"/>
      </w:rPr>
    </w:lvl>
    <w:lvl w:ilvl="7" w:tplc="08090019" w:tentative="1">
      <w:start w:val="1"/>
      <w:numFmt w:val="lowerLetter"/>
      <w:lvlText w:val="%8."/>
      <w:lvlJc w:val="left"/>
      <w:pPr>
        <w:ind w:left="4919" w:hanging="360"/>
      </w:pPr>
      <w:rPr>
        <w:rFonts w:cs="Times New Roman"/>
      </w:rPr>
    </w:lvl>
    <w:lvl w:ilvl="8" w:tplc="0809001B" w:tentative="1">
      <w:start w:val="1"/>
      <w:numFmt w:val="lowerRoman"/>
      <w:lvlText w:val="%9."/>
      <w:lvlJc w:val="right"/>
      <w:pPr>
        <w:ind w:left="5639" w:hanging="180"/>
      </w:pPr>
      <w:rPr>
        <w:rFonts w:cs="Times New Roman"/>
      </w:rPr>
    </w:lvl>
  </w:abstractNum>
  <w:abstractNum w:abstractNumId="41">
    <w:nsid w:val="7BAC4DB2"/>
    <w:multiLevelType w:val="hybridMultilevel"/>
    <w:tmpl w:val="B05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D07A18"/>
    <w:multiLevelType w:val="multilevel"/>
    <w:tmpl w:val="8442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3B50A2"/>
    <w:multiLevelType w:val="hybridMultilevel"/>
    <w:tmpl w:val="2AF2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86C82"/>
    <w:multiLevelType w:val="multilevel"/>
    <w:tmpl w:val="026A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27"/>
  </w:num>
  <w:num w:numId="3">
    <w:abstractNumId w:val="34"/>
  </w:num>
  <w:num w:numId="4">
    <w:abstractNumId w:val="20"/>
  </w:num>
  <w:num w:numId="5">
    <w:abstractNumId w:val="13"/>
  </w:num>
  <w:num w:numId="6">
    <w:abstractNumId w:val="40"/>
  </w:num>
  <w:num w:numId="7">
    <w:abstractNumId w:val="24"/>
  </w:num>
  <w:num w:numId="8">
    <w:abstractNumId w:val="8"/>
  </w:num>
  <w:num w:numId="9">
    <w:abstractNumId w:val="21"/>
  </w:num>
  <w:num w:numId="10">
    <w:abstractNumId w:val="26"/>
  </w:num>
  <w:num w:numId="11">
    <w:abstractNumId w:val="7"/>
  </w:num>
  <w:num w:numId="12">
    <w:abstractNumId w:val="12"/>
  </w:num>
  <w:num w:numId="13">
    <w:abstractNumId w:val="44"/>
  </w:num>
  <w:num w:numId="14">
    <w:abstractNumId w:val="18"/>
  </w:num>
  <w:num w:numId="15">
    <w:abstractNumId w:val="10"/>
  </w:num>
  <w:num w:numId="16">
    <w:abstractNumId w:val="5"/>
  </w:num>
  <w:num w:numId="17">
    <w:abstractNumId w:val="2"/>
  </w:num>
  <w:num w:numId="18">
    <w:abstractNumId w:val="32"/>
  </w:num>
  <w:num w:numId="19">
    <w:abstractNumId w:val="3"/>
  </w:num>
  <w:num w:numId="20">
    <w:abstractNumId w:val="38"/>
  </w:num>
  <w:num w:numId="21">
    <w:abstractNumId w:val="17"/>
  </w:num>
  <w:num w:numId="22">
    <w:abstractNumId w:val="23"/>
  </w:num>
  <w:num w:numId="23">
    <w:abstractNumId w:val="31"/>
  </w:num>
  <w:num w:numId="24">
    <w:abstractNumId w:val="29"/>
  </w:num>
  <w:num w:numId="25">
    <w:abstractNumId w:val="0"/>
  </w:num>
  <w:num w:numId="26">
    <w:abstractNumId w:val="1"/>
  </w:num>
  <w:num w:numId="27">
    <w:abstractNumId w:val="39"/>
  </w:num>
  <w:num w:numId="28">
    <w:abstractNumId w:val="42"/>
  </w:num>
  <w:num w:numId="29">
    <w:abstractNumId w:val="11"/>
  </w:num>
  <w:num w:numId="30">
    <w:abstractNumId w:val="6"/>
  </w:num>
  <w:num w:numId="31">
    <w:abstractNumId w:val="15"/>
  </w:num>
  <w:num w:numId="32">
    <w:abstractNumId w:val="28"/>
  </w:num>
  <w:num w:numId="33">
    <w:abstractNumId w:val="37"/>
  </w:num>
  <w:num w:numId="34">
    <w:abstractNumId w:val="35"/>
  </w:num>
  <w:num w:numId="35">
    <w:abstractNumId w:val="36"/>
  </w:num>
  <w:num w:numId="36">
    <w:abstractNumId w:val="25"/>
  </w:num>
  <w:num w:numId="37">
    <w:abstractNumId w:val="43"/>
  </w:num>
  <w:num w:numId="38">
    <w:abstractNumId w:val="9"/>
  </w:num>
  <w:num w:numId="39">
    <w:abstractNumId w:val="30"/>
  </w:num>
  <w:num w:numId="40">
    <w:abstractNumId w:val="16"/>
  </w:num>
  <w:num w:numId="41">
    <w:abstractNumId w:val="19"/>
  </w:num>
  <w:num w:numId="42">
    <w:abstractNumId w:val="4"/>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6E"/>
    <w:rsid w:val="00003AB3"/>
    <w:rsid w:val="000134DF"/>
    <w:rsid w:val="0004655D"/>
    <w:rsid w:val="00047037"/>
    <w:rsid w:val="000507AA"/>
    <w:rsid w:val="00051245"/>
    <w:rsid w:val="000676CD"/>
    <w:rsid w:val="000958FE"/>
    <w:rsid w:val="000A496A"/>
    <w:rsid w:val="000E3314"/>
    <w:rsid w:val="000E7D3E"/>
    <w:rsid w:val="000F50FB"/>
    <w:rsid w:val="000F52C9"/>
    <w:rsid w:val="000F7CF0"/>
    <w:rsid w:val="0013242A"/>
    <w:rsid w:val="001354AB"/>
    <w:rsid w:val="00155100"/>
    <w:rsid w:val="00165EF1"/>
    <w:rsid w:val="00174333"/>
    <w:rsid w:val="001A44A1"/>
    <w:rsid w:val="001B5C09"/>
    <w:rsid w:val="001C0607"/>
    <w:rsid w:val="001E29D7"/>
    <w:rsid w:val="001E580E"/>
    <w:rsid w:val="001E6890"/>
    <w:rsid w:val="00222ADA"/>
    <w:rsid w:val="0024158C"/>
    <w:rsid w:val="0025436C"/>
    <w:rsid w:val="0026090B"/>
    <w:rsid w:val="002874CB"/>
    <w:rsid w:val="00297548"/>
    <w:rsid w:val="002B6784"/>
    <w:rsid w:val="002B7848"/>
    <w:rsid w:val="002D396D"/>
    <w:rsid w:val="002E466F"/>
    <w:rsid w:val="00302601"/>
    <w:rsid w:val="00325BB2"/>
    <w:rsid w:val="003422D3"/>
    <w:rsid w:val="00344928"/>
    <w:rsid w:val="00364219"/>
    <w:rsid w:val="00380D10"/>
    <w:rsid w:val="003D54B7"/>
    <w:rsid w:val="003F1592"/>
    <w:rsid w:val="003F3DC4"/>
    <w:rsid w:val="003F56CA"/>
    <w:rsid w:val="00412607"/>
    <w:rsid w:val="00415DF0"/>
    <w:rsid w:val="0042474E"/>
    <w:rsid w:val="00425CCD"/>
    <w:rsid w:val="004525C0"/>
    <w:rsid w:val="00471634"/>
    <w:rsid w:val="00476AF6"/>
    <w:rsid w:val="00482FC5"/>
    <w:rsid w:val="004914DE"/>
    <w:rsid w:val="0049391A"/>
    <w:rsid w:val="00494D40"/>
    <w:rsid w:val="00495277"/>
    <w:rsid w:val="0049728B"/>
    <w:rsid w:val="004A2A2B"/>
    <w:rsid w:val="004A7A0B"/>
    <w:rsid w:val="004D24CF"/>
    <w:rsid w:val="004D4E18"/>
    <w:rsid w:val="004E1024"/>
    <w:rsid w:val="004E7045"/>
    <w:rsid w:val="004F2651"/>
    <w:rsid w:val="004F4C39"/>
    <w:rsid w:val="00502B6D"/>
    <w:rsid w:val="0050398E"/>
    <w:rsid w:val="00506D4E"/>
    <w:rsid w:val="00514ADB"/>
    <w:rsid w:val="00523DA7"/>
    <w:rsid w:val="005578FA"/>
    <w:rsid w:val="005706CC"/>
    <w:rsid w:val="005715DC"/>
    <w:rsid w:val="00580A32"/>
    <w:rsid w:val="00592ECB"/>
    <w:rsid w:val="00594204"/>
    <w:rsid w:val="005A0433"/>
    <w:rsid w:val="00622731"/>
    <w:rsid w:val="00623130"/>
    <w:rsid w:val="006268DD"/>
    <w:rsid w:val="0068389B"/>
    <w:rsid w:val="00685CE1"/>
    <w:rsid w:val="006875D4"/>
    <w:rsid w:val="006A2661"/>
    <w:rsid w:val="006A2F30"/>
    <w:rsid w:val="006A6189"/>
    <w:rsid w:val="006E6B8B"/>
    <w:rsid w:val="00713ECC"/>
    <w:rsid w:val="0071726A"/>
    <w:rsid w:val="0073497E"/>
    <w:rsid w:val="00753CB4"/>
    <w:rsid w:val="00764962"/>
    <w:rsid w:val="007709AF"/>
    <w:rsid w:val="00773FBE"/>
    <w:rsid w:val="00777DDC"/>
    <w:rsid w:val="0078064E"/>
    <w:rsid w:val="00785635"/>
    <w:rsid w:val="00787DD5"/>
    <w:rsid w:val="007A38DD"/>
    <w:rsid w:val="007C1D72"/>
    <w:rsid w:val="007C5BE6"/>
    <w:rsid w:val="007C6D60"/>
    <w:rsid w:val="007E4FCD"/>
    <w:rsid w:val="00827061"/>
    <w:rsid w:val="00834F21"/>
    <w:rsid w:val="008368A4"/>
    <w:rsid w:val="0085334A"/>
    <w:rsid w:val="00881672"/>
    <w:rsid w:val="008B492D"/>
    <w:rsid w:val="008D0F41"/>
    <w:rsid w:val="008D23F0"/>
    <w:rsid w:val="008D550B"/>
    <w:rsid w:val="008E36B4"/>
    <w:rsid w:val="009227F2"/>
    <w:rsid w:val="00922E62"/>
    <w:rsid w:val="009918CD"/>
    <w:rsid w:val="009C02F0"/>
    <w:rsid w:val="009C4B5D"/>
    <w:rsid w:val="009C5291"/>
    <w:rsid w:val="009C7CC3"/>
    <w:rsid w:val="009E588A"/>
    <w:rsid w:val="009F0949"/>
    <w:rsid w:val="00A214C8"/>
    <w:rsid w:val="00A327F2"/>
    <w:rsid w:val="00A34F17"/>
    <w:rsid w:val="00A42E91"/>
    <w:rsid w:val="00A47AA5"/>
    <w:rsid w:val="00A57B4A"/>
    <w:rsid w:val="00A65E10"/>
    <w:rsid w:val="00A71A1B"/>
    <w:rsid w:val="00A7483C"/>
    <w:rsid w:val="00A76959"/>
    <w:rsid w:val="00A86969"/>
    <w:rsid w:val="00A93EFC"/>
    <w:rsid w:val="00AA3F5D"/>
    <w:rsid w:val="00AB0207"/>
    <w:rsid w:val="00AB26C6"/>
    <w:rsid w:val="00AC55DF"/>
    <w:rsid w:val="00AD6B03"/>
    <w:rsid w:val="00AD738D"/>
    <w:rsid w:val="00AE6AD3"/>
    <w:rsid w:val="00AF40FE"/>
    <w:rsid w:val="00B07A0E"/>
    <w:rsid w:val="00B114AC"/>
    <w:rsid w:val="00B131C3"/>
    <w:rsid w:val="00B40B13"/>
    <w:rsid w:val="00B57950"/>
    <w:rsid w:val="00B6266E"/>
    <w:rsid w:val="00B83EA9"/>
    <w:rsid w:val="00B91643"/>
    <w:rsid w:val="00BB5284"/>
    <w:rsid w:val="00BC3EC5"/>
    <w:rsid w:val="00BC48DF"/>
    <w:rsid w:val="00BE1403"/>
    <w:rsid w:val="00C00098"/>
    <w:rsid w:val="00C213F1"/>
    <w:rsid w:val="00C839CA"/>
    <w:rsid w:val="00C86BC4"/>
    <w:rsid w:val="00C87BA2"/>
    <w:rsid w:val="00CB4DB3"/>
    <w:rsid w:val="00CC75F6"/>
    <w:rsid w:val="00D200F6"/>
    <w:rsid w:val="00D55D96"/>
    <w:rsid w:val="00D56691"/>
    <w:rsid w:val="00D67C72"/>
    <w:rsid w:val="00D71BFD"/>
    <w:rsid w:val="00DB297A"/>
    <w:rsid w:val="00DE795E"/>
    <w:rsid w:val="00E038AB"/>
    <w:rsid w:val="00E118B9"/>
    <w:rsid w:val="00E53A2A"/>
    <w:rsid w:val="00E55C2A"/>
    <w:rsid w:val="00E5655A"/>
    <w:rsid w:val="00E64A83"/>
    <w:rsid w:val="00E65273"/>
    <w:rsid w:val="00EA100C"/>
    <w:rsid w:val="00EE4D38"/>
    <w:rsid w:val="00EF566F"/>
    <w:rsid w:val="00F235D0"/>
    <w:rsid w:val="00F52704"/>
    <w:rsid w:val="00F64DC6"/>
    <w:rsid w:val="00FA1537"/>
    <w:rsid w:val="00FA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C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66E"/>
    <w:pPr>
      <w:ind w:left="720"/>
      <w:contextualSpacing/>
    </w:pPr>
  </w:style>
  <w:style w:type="paragraph" w:styleId="Header">
    <w:name w:val="header"/>
    <w:basedOn w:val="Normal"/>
    <w:link w:val="HeaderChar"/>
    <w:uiPriority w:val="99"/>
    <w:rsid w:val="001354AB"/>
    <w:pPr>
      <w:tabs>
        <w:tab w:val="center" w:pos="4513"/>
        <w:tab w:val="right" w:pos="9026"/>
      </w:tabs>
    </w:pPr>
  </w:style>
  <w:style w:type="character" w:customStyle="1" w:styleId="HeaderChar">
    <w:name w:val="Header Char"/>
    <w:basedOn w:val="DefaultParagraphFont"/>
    <w:link w:val="Header"/>
    <w:uiPriority w:val="99"/>
    <w:locked/>
    <w:rsid w:val="001354AB"/>
    <w:rPr>
      <w:sz w:val="22"/>
      <w:lang w:eastAsia="en-US"/>
    </w:rPr>
  </w:style>
  <w:style w:type="paragraph" w:styleId="Footer">
    <w:name w:val="footer"/>
    <w:basedOn w:val="Normal"/>
    <w:link w:val="FooterChar"/>
    <w:uiPriority w:val="99"/>
    <w:rsid w:val="001354AB"/>
    <w:pPr>
      <w:tabs>
        <w:tab w:val="center" w:pos="4513"/>
        <w:tab w:val="right" w:pos="9026"/>
      </w:tabs>
    </w:pPr>
  </w:style>
  <w:style w:type="character" w:customStyle="1" w:styleId="FooterChar">
    <w:name w:val="Footer Char"/>
    <w:basedOn w:val="DefaultParagraphFont"/>
    <w:link w:val="Footer"/>
    <w:uiPriority w:val="99"/>
    <w:locked/>
    <w:rsid w:val="001354AB"/>
    <w:rPr>
      <w:sz w:val="22"/>
      <w:lang w:eastAsia="en-US"/>
    </w:rPr>
  </w:style>
  <w:style w:type="paragraph" w:styleId="BalloonText">
    <w:name w:val="Balloon Text"/>
    <w:basedOn w:val="Normal"/>
    <w:link w:val="BalloonTextChar"/>
    <w:uiPriority w:val="99"/>
    <w:semiHidden/>
    <w:rsid w:val="001354A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354AB"/>
    <w:rPr>
      <w:rFonts w:ascii="Tahoma" w:hAnsi="Tahoma"/>
      <w:sz w:val="16"/>
      <w:lang w:eastAsia="en-US"/>
    </w:rPr>
  </w:style>
  <w:style w:type="character" w:styleId="Hyperlink">
    <w:name w:val="Hyperlink"/>
    <w:basedOn w:val="DefaultParagraphFont"/>
    <w:uiPriority w:val="99"/>
    <w:rsid w:val="001354AB"/>
    <w:rPr>
      <w:rFonts w:cs="Times New Roman"/>
      <w:color w:val="0000FF"/>
      <w:u w:val="single"/>
    </w:rPr>
  </w:style>
  <w:style w:type="character" w:styleId="FollowedHyperlink">
    <w:name w:val="FollowedHyperlink"/>
    <w:basedOn w:val="DefaultParagraphFont"/>
    <w:uiPriority w:val="99"/>
    <w:semiHidden/>
    <w:rsid w:val="00D71BFD"/>
    <w:rPr>
      <w:rFonts w:cs="Times New Roman"/>
      <w:color w:val="800080"/>
      <w:u w:val="single"/>
    </w:rPr>
  </w:style>
  <w:style w:type="paragraph" w:styleId="NormalWeb">
    <w:name w:val="Normal (Web)"/>
    <w:basedOn w:val="Normal"/>
    <w:link w:val="NormalWebChar"/>
    <w:uiPriority w:val="99"/>
    <w:semiHidden/>
    <w:rsid w:val="0073497E"/>
    <w:pPr>
      <w:spacing w:before="100" w:beforeAutospacing="1" w:after="100" w:afterAutospacing="1" w:line="240" w:lineRule="auto"/>
    </w:pPr>
    <w:rPr>
      <w:rFonts w:ascii="Times New Roman" w:hAnsi="Times New Roman"/>
      <w:sz w:val="24"/>
      <w:szCs w:val="24"/>
      <w:lang w:eastAsia="en-GB"/>
    </w:rPr>
  </w:style>
  <w:style w:type="paragraph" w:customStyle="1" w:styleId="Style1">
    <w:name w:val="Style1"/>
    <w:basedOn w:val="NormalWeb"/>
    <w:next w:val="Normal"/>
    <w:link w:val="Style1Char"/>
    <w:autoRedefine/>
    <w:uiPriority w:val="99"/>
    <w:rsid w:val="00827061"/>
    <w:pPr>
      <w:shd w:val="clear" w:color="auto" w:fill="FFFFFF"/>
      <w:spacing w:before="240" w:beforeAutospacing="0" w:after="10" w:afterAutospacing="0"/>
    </w:pPr>
    <w:rPr>
      <w:rFonts w:ascii="Calibri" w:hAnsi="Calibri"/>
      <w:b/>
      <w:color w:val="1F497D"/>
      <w:sz w:val="22"/>
      <w:szCs w:val="22"/>
    </w:rPr>
  </w:style>
  <w:style w:type="paragraph" w:customStyle="1" w:styleId="Style2">
    <w:name w:val="Style2"/>
    <w:basedOn w:val="Normal"/>
    <w:link w:val="Style2Char"/>
    <w:uiPriority w:val="99"/>
    <w:rsid w:val="0073497E"/>
    <w:pPr>
      <w:spacing w:before="240" w:after="0" w:line="240" w:lineRule="auto"/>
    </w:pPr>
    <w:rPr>
      <w:rFonts w:ascii="Arial Narrow" w:hAnsi="Arial Narrow"/>
      <w:u w:val="single"/>
      <w:lang w:eastAsia="en-GB"/>
    </w:rPr>
  </w:style>
  <w:style w:type="character" w:customStyle="1" w:styleId="NormalWebChar">
    <w:name w:val="Normal (Web) Char"/>
    <w:basedOn w:val="DefaultParagraphFont"/>
    <w:link w:val="NormalWeb"/>
    <w:uiPriority w:val="99"/>
    <w:semiHidden/>
    <w:locked/>
    <w:rsid w:val="0073497E"/>
    <w:rPr>
      <w:rFonts w:ascii="Times New Roman" w:eastAsia="Times New Roman" w:hAnsi="Times New Roman" w:cs="Times New Roman"/>
      <w:sz w:val="24"/>
      <w:szCs w:val="24"/>
    </w:rPr>
  </w:style>
  <w:style w:type="character" w:customStyle="1" w:styleId="Style1Char">
    <w:name w:val="Style1 Char"/>
    <w:basedOn w:val="NormalWebChar"/>
    <w:link w:val="Style1"/>
    <w:uiPriority w:val="99"/>
    <w:locked/>
    <w:rsid w:val="00827061"/>
    <w:rPr>
      <w:rFonts w:ascii="Calibri" w:eastAsia="Times New Roman" w:hAnsi="Calibri" w:cs="Times New Roman"/>
      <w:b/>
      <w:color w:val="1F497D"/>
      <w:sz w:val="22"/>
      <w:szCs w:val="22"/>
      <w:lang w:val="en-GB" w:eastAsia="en-GB" w:bidi="ar-SA"/>
    </w:rPr>
  </w:style>
  <w:style w:type="character" w:customStyle="1" w:styleId="Style2Char">
    <w:name w:val="Style2 Char"/>
    <w:basedOn w:val="DefaultParagraphFont"/>
    <w:link w:val="Style2"/>
    <w:uiPriority w:val="99"/>
    <w:locked/>
    <w:rsid w:val="0073497E"/>
    <w:rPr>
      <w:rFonts w:ascii="Arial Narrow" w:eastAsia="Times New Roman" w:hAnsi="Arial Narrow" w:cs="Times New Roman"/>
      <w:sz w:val="22"/>
      <w:szCs w:val="22"/>
      <w:u w:val="single"/>
    </w:rPr>
  </w:style>
  <w:style w:type="paragraph" w:styleId="Title">
    <w:name w:val="Title"/>
    <w:basedOn w:val="Normal"/>
    <w:next w:val="Normal"/>
    <w:link w:val="TitleChar"/>
    <w:uiPriority w:val="99"/>
    <w:qFormat/>
    <w:locked/>
    <w:rsid w:val="0082706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827061"/>
    <w:rPr>
      <w:rFonts w:ascii="Cambria" w:eastAsia="Times New Roman" w:hAnsi="Cambria" w:cs="Times New Roman"/>
      <w:b/>
      <w:bCs/>
      <w:kern w:val="28"/>
      <w:sz w:val="32"/>
      <w:szCs w:val="3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C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66E"/>
    <w:pPr>
      <w:ind w:left="720"/>
      <w:contextualSpacing/>
    </w:pPr>
  </w:style>
  <w:style w:type="paragraph" w:styleId="Header">
    <w:name w:val="header"/>
    <w:basedOn w:val="Normal"/>
    <w:link w:val="HeaderChar"/>
    <w:uiPriority w:val="99"/>
    <w:rsid w:val="001354AB"/>
    <w:pPr>
      <w:tabs>
        <w:tab w:val="center" w:pos="4513"/>
        <w:tab w:val="right" w:pos="9026"/>
      </w:tabs>
    </w:pPr>
  </w:style>
  <w:style w:type="character" w:customStyle="1" w:styleId="HeaderChar">
    <w:name w:val="Header Char"/>
    <w:basedOn w:val="DefaultParagraphFont"/>
    <w:link w:val="Header"/>
    <w:uiPriority w:val="99"/>
    <w:locked/>
    <w:rsid w:val="001354AB"/>
    <w:rPr>
      <w:sz w:val="22"/>
      <w:lang w:eastAsia="en-US"/>
    </w:rPr>
  </w:style>
  <w:style w:type="paragraph" w:styleId="Footer">
    <w:name w:val="footer"/>
    <w:basedOn w:val="Normal"/>
    <w:link w:val="FooterChar"/>
    <w:uiPriority w:val="99"/>
    <w:rsid w:val="001354AB"/>
    <w:pPr>
      <w:tabs>
        <w:tab w:val="center" w:pos="4513"/>
        <w:tab w:val="right" w:pos="9026"/>
      </w:tabs>
    </w:pPr>
  </w:style>
  <w:style w:type="character" w:customStyle="1" w:styleId="FooterChar">
    <w:name w:val="Footer Char"/>
    <w:basedOn w:val="DefaultParagraphFont"/>
    <w:link w:val="Footer"/>
    <w:uiPriority w:val="99"/>
    <w:locked/>
    <w:rsid w:val="001354AB"/>
    <w:rPr>
      <w:sz w:val="22"/>
      <w:lang w:eastAsia="en-US"/>
    </w:rPr>
  </w:style>
  <w:style w:type="paragraph" w:styleId="BalloonText">
    <w:name w:val="Balloon Text"/>
    <w:basedOn w:val="Normal"/>
    <w:link w:val="BalloonTextChar"/>
    <w:uiPriority w:val="99"/>
    <w:semiHidden/>
    <w:rsid w:val="001354A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354AB"/>
    <w:rPr>
      <w:rFonts w:ascii="Tahoma" w:hAnsi="Tahoma"/>
      <w:sz w:val="16"/>
      <w:lang w:eastAsia="en-US"/>
    </w:rPr>
  </w:style>
  <w:style w:type="character" w:styleId="Hyperlink">
    <w:name w:val="Hyperlink"/>
    <w:basedOn w:val="DefaultParagraphFont"/>
    <w:uiPriority w:val="99"/>
    <w:rsid w:val="001354AB"/>
    <w:rPr>
      <w:rFonts w:cs="Times New Roman"/>
      <w:color w:val="0000FF"/>
      <w:u w:val="single"/>
    </w:rPr>
  </w:style>
  <w:style w:type="character" w:styleId="FollowedHyperlink">
    <w:name w:val="FollowedHyperlink"/>
    <w:basedOn w:val="DefaultParagraphFont"/>
    <w:uiPriority w:val="99"/>
    <w:semiHidden/>
    <w:rsid w:val="00D71BFD"/>
    <w:rPr>
      <w:rFonts w:cs="Times New Roman"/>
      <w:color w:val="800080"/>
      <w:u w:val="single"/>
    </w:rPr>
  </w:style>
  <w:style w:type="paragraph" w:styleId="NormalWeb">
    <w:name w:val="Normal (Web)"/>
    <w:basedOn w:val="Normal"/>
    <w:link w:val="NormalWebChar"/>
    <w:uiPriority w:val="99"/>
    <w:semiHidden/>
    <w:rsid w:val="0073497E"/>
    <w:pPr>
      <w:spacing w:before="100" w:beforeAutospacing="1" w:after="100" w:afterAutospacing="1" w:line="240" w:lineRule="auto"/>
    </w:pPr>
    <w:rPr>
      <w:rFonts w:ascii="Times New Roman" w:hAnsi="Times New Roman"/>
      <w:sz w:val="24"/>
      <w:szCs w:val="24"/>
      <w:lang w:eastAsia="en-GB"/>
    </w:rPr>
  </w:style>
  <w:style w:type="paragraph" w:customStyle="1" w:styleId="Style1">
    <w:name w:val="Style1"/>
    <w:basedOn w:val="NormalWeb"/>
    <w:next w:val="Normal"/>
    <w:link w:val="Style1Char"/>
    <w:autoRedefine/>
    <w:uiPriority w:val="99"/>
    <w:rsid w:val="00827061"/>
    <w:pPr>
      <w:shd w:val="clear" w:color="auto" w:fill="FFFFFF"/>
      <w:spacing w:before="240" w:beforeAutospacing="0" w:after="10" w:afterAutospacing="0"/>
    </w:pPr>
    <w:rPr>
      <w:rFonts w:ascii="Calibri" w:hAnsi="Calibri"/>
      <w:b/>
      <w:color w:val="1F497D"/>
      <w:sz w:val="22"/>
      <w:szCs w:val="22"/>
    </w:rPr>
  </w:style>
  <w:style w:type="paragraph" w:customStyle="1" w:styleId="Style2">
    <w:name w:val="Style2"/>
    <w:basedOn w:val="Normal"/>
    <w:link w:val="Style2Char"/>
    <w:uiPriority w:val="99"/>
    <w:rsid w:val="0073497E"/>
    <w:pPr>
      <w:spacing w:before="240" w:after="0" w:line="240" w:lineRule="auto"/>
    </w:pPr>
    <w:rPr>
      <w:rFonts w:ascii="Arial Narrow" w:hAnsi="Arial Narrow"/>
      <w:u w:val="single"/>
      <w:lang w:eastAsia="en-GB"/>
    </w:rPr>
  </w:style>
  <w:style w:type="character" w:customStyle="1" w:styleId="NormalWebChar">
    <w:name w:val="Normal (Web) Char"/>
    <w:basedOn w:val="DefaultParagraphFont"/>
    <w:link w:val="NormalWeb"/>
    <w:uiPriority w:val="99"/>
    <w:semiHidden/>
    <w:locked/>
    <w:rsid w:val="0073497E"/>
    <w:rPr>
      <w:rFonts w:ascii="Times New Roman" w:eastAsia="Times New Roman" w:hAnsi="Times New Roman" w:cs="Times New Roman"/>
      <w:sz w:val="24"/>
      <w:szCs w:val="24"/>
    </w:rPr>
  </w:style>
  <w:style w:type="character" w:customStyle="1" w:styleId="Style1Char">
    <w:name w:val="Style1 Char"/>
    <w:basedOn w:val="NormalWebChar"/>
    <w:link w:val="Style1"/>
    <w:uiPriority w:val="99"/>
    <w:locked/>
    <w:rsid w:val="00827061"/>
    <w:rPr>
      <w:rFonts w:ascii="Calibri" w:eastAsia="Times New Roman" w:hAnsi="Calibri" w:cs="Times New Roman"/>
      <w:b/>
      <w:color w:val="1F497D"/>
      <w:sz w:val="22"/>
      <w:szCs w:val="22"/>
      <w:lang w:val="en-GB" w:eastAsia="en-GB" w:bidi="ar-SA"/>
    </w:rPr>
  </w:style>
  <w:style w:type="character" w:customStyle="1" w:styleId="Style2Char">
    <w:name w:val="Style2 Char"/>
    <w:basedOn w:val="DefaultParagraphFont"/>
    <w:link w:val="Style2"/>
    <w:uiPriority w:val="99"/>
    <w:locked/>
    <w:rsid w:val="0073497E"/>
    <w:rPr>
      <w:rFonts w:ascii="Arial Narrow" w:eastAsia="Times New Roman" w:hAnsi="Arial Narrow" w:cs="Times New Roman"/>
      <w:sz w:val="22"/>
      <w:szCs w:val="22"/>
      <w:u w:val="single"/>
    </w:rPr>
  </w:style>
  <w:style w:type="paragraph" w:styleId="Title">
    <w:name w:val="Title"/>
    <w:basedOn w:val="Normal"/>
    <w:next w:val="Normal"/>
    <w:link w:val="TitleChar"/>
    <w:uiPriority w:val="99"/>
    <w:qFormat/>
    <w:locked/>
    <w:rsid w:val="0082706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827061"/>
    <w:rPr>
      <w:rFonts w:ascii="Cambria" w:eastAsia="Times New Roman" w:hAnsi="Cambria" w:cs="Times New Roman"/>
      <w:b/>
      <w:bCs/>
      <w:kern w:val="28"/>
      <w:sz w:val="32"/>
      <w:szCs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00388">
      <w:bodyDiv w:val="1"/>
      <w:marLeft w:val="0"/>
      <w:marRight w:val="0"/>
      <w:marTop w:val="0"/>
      <w:marBottom w:val="0"/>
      <w:divBdr>
        <w:top w:val="none" w:sz="0" w:space="0" w:color="auto"/>
        <w:left w:val="none" w:sz="0" w:space="0" w:color="auto"/>
        <w:bottom w:val="none" w:sz="0" w:space="0" w:color="auto"/>
        <w:right w:val="none" w:sz="0" w:space="0" w:color="auto"/>
      </w:divBdr>
    </w:div>
    <w:div w:id="1995403405">
      <w:marLeft w:val="0"/>
      <w:marRight w:val="0"/>
      <w:marTop w:val="0"/>
      <w:marBottom w:val="0"/>
      <w:divBdr>
        <w:top w:val="none" w:sz="0" w:space="0" w:color="auto"/>
        <w:left w:val="none" w:sz="0" w:space="0" w:color="auto"/>
        <w:bottom w:val="none" w:sz="0" w:space="0" w:color="auto"/>
        <w:right w:val="none" w:sz="0" w:space="0" w:color="auto"/>
      </w:divBdr>
    </w:div>
    <w:div w:id="1995403406">
      <w:marLeft w:val="0"/>
      <w:marRight w:val="0"/>
      <w:marTop w:val="0"/>
      <w:marBottom w:val="0"/>
      <w:divBdr>
        <w:top w:val="none" w:sz="0" w:space="0" w:color="auto"/>
        <w:left w:val="none" w:sz="0" w:space="0" w:color="auto"/>
        <w:bottom w:val="none" w:sz="0" w:space="0" w:color="auto"/>
        <w:right w:val="none" w:sz="0" w:space="0" w:color="auto"/>
      </w:divBdr>
    </w:div>
    <w:div w:id="1995403407">
      <w:marLeft w:val="0"/>
      <w:marRight w:val="0"/>
      <w:marTop w:val="0"/>
      <w:marBottom w:val="0"/>
      <w:divBdr>
        <w:top w:val="none" w:sz="0" w:space="0" w:color="auto"/>
        <w:left w:val="none" w:sz="0" w:space="0" w:color="auto"/>
        <w:bottom w:val="none" w:sz="0" w:space="0" w:color="auto"/>
        <w:right w:val="none" w:sz="0" w:space="0" w:color="auto"/>
      </w:divBdr>
    </w:div>
    <w:div w:id="1995403408">
      <w:marLeft w:val="0"/>
      <w:marRight w:val="0"/>
      <w:marTop w:val="0"/>
      <w:marBottom w:val="0"/>
      <w:divBdr>
        <w:top w:val="none" w:sz="0" w:space="0" w:color="auto"/>
        <w:left w:val="none" w:sz="0" w:space="0" w:color="auto"/>
        <w:bottom w:val="none" w:sz="0" w:space="0" w:color="auto"/>
        <w:right w:val="none" w:sz="0" w:space="0" w:color="auto"/>
      </w:divBdr>
    </w:div>
    <w:div w:id="1995403409">
      <w:marLeft w:val="0"/>
      <w:marRight w:val="0"/>
      <w:marTop w:val="0"/>
      <w:marBottom w:val="0"/>
      <w:divBdr>
        <w:top w:val="none" w:sz="0" w:space="0" w:color="auto"/>
        <w:left w:val="none" w:sz="0" w:space="0" w:color="auto"/>
        <w:bottom w:val="none" w:sz="0" w:space="0" w:color="auto"/>
        <w:right w:val="none" w:sz="0" w:space="0" w:color="auto"/>
      </w:divBdr>
    </w:div>
    <w:div w:id="1995403410">
      <w:marLeft w:val="0"/>
      <w:marRight w:val="0"/>
      <w:marTop w:val="0"/>
      <w:marBottom w:val="0"/>
      <w:divBdr>
        <w:top w:val="none" w:sz="0" w:space="0" w:color="auto"/>
        <w:left w:val="none" w:sz="0" w:space="0" w:color="auto"/>
        <w:bottom w:val="none" w:sz="0" w:space="0" w:color="auto"/>
        <w:right w:val="none" w:sz="0" w:space="0" w:color="auto"/>
      </w:divBdr>
    </w:div>
    <w:div w:id="1995403411">
      <w:marLeft w:val="0"/>
      <w:marRight w:val="0"/>
      <w:marTop w:val="0"/>
      <w:marBottom w:val="0"/>
      <w:divBdr>
        <w:top w:val="none" w:sz="0" w:space="0" w:color="auto"/>
        <w:left w:val="none" w:sz="0" w:space="0" w:color="auto"/>
        <w:bottom w:val="none" w:sz="0" w:space="0" w:color="auto"/>
        <w:right w:val="none" w:sz="0" w:space="0" w:color="auto"/>
      </w:divBdr>
    </w:div>
    <w:div w:id="1995403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nathan.minter@verdict.co.uk%20" TargetMode="External"/><Relationship Id="rId4" Type="http://schemas.openxmlformats.org/officeDocument/2006/relationships/settings" Target="settings.xml"/><Relationship Id="rId9" Type="http://schemas.openxmlformats.org/officeDocument/2006/relationships/hyperlink" Target="mailto:MF18awards@compel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1655</Words>
  <Characters>8961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Card Review Format</vt:lpstr>
    </vt:vector>
  </TitlesOfParts>
  <Company>Hewlett-Packard</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Review Format</dc:title>
  <dc:creator>Rose Riley</dc:creator>
  <cp:lastModifiedBy>Vicki Greenwood</cp:lastModifiedBy>
  <cp:revision>2</cp:revision>
  <cp:lastPrinted>2017-01-18T09:38:00Z</cp:lastPrinted>
  <dcterms:created xsi:type="dcterms:W3CDTF">2017-12-05T15:17:00Z</dcterms:created>
  <dcterms:modified xsi:type="dcterms:W3CDTF">2017-12-05T15:17:00Z</dcterms:modified>
</cp:coreProperties>
</file>